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ABAS-3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Forms &amp; raters: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Norm set: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Measures, forms, raters, method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Edition; each form used; rater and relationship; dates; paper or online; norm set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Rater context, validity, and guessed answers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Opportunity to observe; settings; count of estimated answers per form; protocols fully scorable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Score summary (label the two metrics)</w:t>
      </w:r>
    </w:p>
    <w:p>
      <w:pPr>
        <w:spacing w:after="50"/>
      </w:pPr>
      <w:r>
        <w:rPr>
          <w:color w:val="64748B"/>
          <w:sz w:val="16"/>
          <w:szCs w:val="16"/>
        </w:rPr>
        <w:t xml:space="preserve">GAC + Conceptual, Social, Practical = standard scores (100/15) with CI + percentile, per rater; skill areas = scaled (10/3)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GAC and domain results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GAC first, then Conceptual, Social, Practical: functional meaning for everyday life, skill areas inside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Cross-informant comparison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Agreements and divergences read by setting; comparison output used; scores never averaged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Severity and eligibility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Adaptive paired with cognitive; DSM-5-TR severity by adaptive functioning; single-measure limit; limitations incl. norms and any instrument change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support tied to a named skill-area or domain finding; re-measurement instrument and interval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Guessed answers noted: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Re-administration due: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bastiongpt.com/template/abas-3-report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2026-07-21T07:15:34.872Z</dcterms:created>
  <dcterms:modified xsi:type="dcterms:W3CDTF">2026-07-21T07:15:34.873Z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