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ADHD Evaluation Report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400"/>
        <w:gridCol w:w="2500"/>
        <w:gridCol w:w="283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Evaluation date(s):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800"/>
        <w:gridCol w:w="2830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/ credentials: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Referred by + question: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Modality (in person / telehealth):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question</w:t>
      </w:r>
      <w:r>
        <w:rPr>
          <w:color w:val="64748B"/>
          <w:sz w:val="15"/>
          <w:szCs w:val="15"/>
        </w:rPr>
        <w:t xml:space="preserve">   who is asking, and what decision the answer feeds; medical purpose distinct from any accommodation request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Sources of information &amp; consent</w:t>
      </w:r>
      <w:r>
        <w:rPr>
          <w:color w:val="64748B"/>
          <w:sz w:val="15"/>
          <w:szCs w:val="15"/>
        </w:rPr>
        <w:t xml:space="preserve">   interviews and dates; informants; rating scales with version, informant, setting; tests; records reviewed; consent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History</w:t>
      </w:r>
      <w:r>
        <w:rPr>
          <w:color w:val="64748B"/>
          <w:sz w:val="15"/>
          <w:szCs w:val="15"/>
        </w:rPr>
        <w:t xml:space="preserve">   developmental, medical, psychiatric, family, school/work; sleep, substances, prior evaluations; symptoms before age 12 with source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Behavioral observations / validity statement</w:t>
      </w:r>
      <w:r>
        <w:rPr>
          <w:color w:val="64748B"/>
          <w:sz w:val="15"/>
          <w:szCs w:val="15"/>
        </w:rPr>
        <w:t xml:space="preserve">   attention, activity, effort, rapport across sessions; whether results are interpretable and why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Rating-scale results, by informant and setting</w:t>
      </w:r>
      <w:r>
        <w:rPr>
          <w:color w:val="64748B"/>
          <w:sz w:val="15"/>
          <w:szCs w:val="15"/>
        </w:rPr>
        <w:t xml:space="preserve">   instrument / version / informant / setting / scores as the manual scales them; agreement and divergence pattern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Cognitive / achievement context (if tested)</w:t>
      </w:r>
      <w:r>
        <w:rPr>
          <w:color w:val="64748B"/>
          <w:sz w:val="15"/>
          <w:szCs w:val="15"/>
        </w:rPr>
        <w:t xml:space="preserve">   results as rule-out context; battery justification; no cognitive profile diagnoses ADHD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DSM-5-TR criteria mapping &amp; differential</w:t>
      </w:r>
      <w:r>
        <w:rPr>
          <w:color w:val="64748B"/>
          <w:sz w:val="15"/>
          <w:szCs w:val="15"/>
        </w:rPr>
        <w:t xml:space="preserve">   inattention ___ of 9; hyperactivity-impulsivity ___ of 9; settings with impairment; onset; alternatives ruled out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Diagnosis &amp; formulation</w:t>
      </w:r>
      <w:r>
        <w:rPr>
          <w:color w:val="64748B"/>
          <w:sz w:val="15"/>
          <w:szCs w:val="15"/>
        </w:rPr>
        <w:t xml:space="preserve">   presentation, severity, ICD-10-CM code; conditions ruled out; formulation connecting history, data, impairment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Recommendations, feedback &amp; follow-up</w:t>
      </w:r>
      <w:r>
        <w:rPr>
          <w:color w:val="64748B"/>
          <w:sz w:val="15"/>
          <w:szCs w:val="15"/>
        </w:rPr>
        <w:t xml:space="preserve">   each tied to a finding; feedback session; report shared with (consent); re-evaluation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200"/>
        <w:gridCol w:w="303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time (if billed):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report: </w:t>
    </w:r>
    <w:r>
      <w:rPr>
        <w:b/>
        <w:bCs/>
        <w:color w:val="000000"/>
        <w:sz w:val="16"/>
        <w:szCs w:val="16"/>
      </w:rPr>
      <w:t xml:space="preserve">bastiongpt.com/template/adhd-evaluation-report</w:t>
    </w:r>
    <w:r>
      <w:rPr>
        <w:color w:val="64748B"/>
        <w:sz w:val="16"/>
        <w:szCs w:val="16"/>
      </w:rPr>
      <w:t xml:space="preserve">   ·   BastionGPT drafts the report from your interview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2026-07-23T20:05:14.611Z</dcterms:created>
  <dcterms:modified xsi:type="dcterms:W3CDTF">2026-07-23T20:05:14.612Z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