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ADI-R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Interview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Informant: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Administered by: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Instrument, informant,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Edition, informant and recall quality, administrator’s ADI-R training, one part of the evaluation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Developmental-history findings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Early social development, language and any loss, restricted or repetitive behavior; your own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Algorithm used and classification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Diagnostic or Current Behavior algorithm; whether consistent with autism; no totals or cutoffs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Integration with observation and measures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Direct observation, records, rating and cognitive data; where they converge or diverge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DSM-5-TR formulation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The determination and clinical judgment; the ADI-R is one input, its algorithm reflects DSM-IV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Limitations and informant recall</w:t>
      </w:r>
    </w:p>
    <w:p>
      <w:pPr>
        <w:spacing w:after="50"/>
      </w:pPr>
      <w:r>
        <w:rPr>
          <w:color w:val="64748B"/>
          <w:sz w:val="16"/>
          <w:szCs w:val="16"/>
        </w:rPr>
        <w:t xml:space="preserve">Recall confidence and retrospective bias, masking, in-person or remote administration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Discordant results addressed: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considered: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bastiongpt.com/template/adi-r-report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2026-07-23T06:58:49.322Z</dcterms:created>
  <dcterms:modified xsi:type="dcterms:W3CDTF">2026-07-23T06:58:49.323Z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