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ASQ-3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questionnaire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960"/>
        <w:gridCol w:w="4670"/>
      </w:tblGrid>
      <w:tr>
        <w:tc>
          <w:tcPr>
            <w:tcW w:type="dxa" w:w="596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Interval + chronological + corrected age:</w:t>
            </w:r>
          </w:p>
        </w:tc>
        <w:tc>
          <w:tcPr>
            <w:tcW w:type="dxa" w:w="467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Respondent + language:</w:t>
            </w:r>
          </w:p>
        </w:tc>
      </w:tr>
    </w:tbl>
    <w:p>
      <w:pPr>
        <w:spacing w:after="20" w:before="30"/>
      </w:pPr>
      <w:r>
        <w:rPr>
          <w:b/>
          <w:bCs/>
          <w:color w:val="000000"/>
          <w:sz w:val="22"/>
          <w:szCs w:val="22"/>
        </w:rPr>
        <w:t xml:space="preserve">Domain results by zone</w:t>
      </w:r>
    </w:p>
    <w:p>
      <w:pPr>
        <w:spacing w:after="40"/>
      </w:pPr>
      <w:r>
        <w:rPr>
          <w:color w:val="64748B"/>
          <w:sz w:val="16"/>
          <w:szCs w:val="16"/>
        </w:rPr>
        <w:t xml:space="preserve">Communication · gross motor · fine motor · problem solving · personal-social · each: above cutoff / monitoring zone / below cutoff</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Completeness and adjustments</w:t>
      </w:r>
    </w:p>
    <w:p>
      <w:pPr>
        <w:spacing w:after="40"/>
      </w:pPr>
      <w:r>
        <w:rPr>
          <w:color w:val="64748B"/>
          <w:sz w:val="16"/>
          <w:szCs w:val="16"/>
        </w:rPr>
        <w:t xml:space="preserve">Blank items per domain · adjusted scores identified · domains not scorable (&gt;2 blank) charted as such</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2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Overall section (in words)</w:t>
      </w:r>
    </w:p>
    <w:p>
      <w:pPr>
        <w:spacing w:after="40"/>
      </w:pPr>
      <w:r>
        <w:rPr>
          <w:color w:val="64748B"/>
          <w:sz w:val="16"/>
          <w:szCs w:val="16"/>
        </w:rPr>
        <w:t xml:space="preserve">Hearing · vision · talking · behavior · loss of skills · parent worries · acts regardless of domain zones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Monitoring-zone plan</w:t>
      </w:r>
    </w:p>
    <w:p>
      <w:pPr>
        <w:spacing w:after="40"/>
      </w:pPr>
      <w:r>
        <w:rPr>
          <w:color w:val="64748B"/>
          <w:sz w:val="16"/>
          <w:szCs w:val="16"/>
        </w:rPr>
        <w:t xml:space="preserve">Domain(s) · context review · parent discussion · targeted activities provided · rescreen DATE · escalation criteria</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Referrals and clocks</w:t>
      </w:r>
    </w:p>
    <w:p>
      <w:pPr>
        <w:spacing w:after="40"/>
      </w:pPr>
      <w:r>
        <w:rPr>
          <w:color w:val="64748B"/>
          <w:sz w:val="16"/>
          <w:szCs w:val="16"/>
        </w:rPr>
        <w:t xml:space="preserve">Early intervention (dated; 7-day clock) · audiology for communication concerns · medical evaluation · confirmation owner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Positive screen = referral trigger, not diagnosis · negative screen does not rule out milder delay · preterm framing if applicable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Follow-up and administrative</w:t>
      </w:r>
    </w:p>
    <w:p>
      <w:pPr>
        <w:spacing w:after="40"/>
      </w:pPr>
      <w:r>
        <w:rPr>
          <w:color w:val="64748B"/>
          <w:sz w:val="16"/>
          <w:szCs w:val="16"/>
        </w:rPr>
        <w:t xml:space="preserve">Next screening age or rescreen date · summary sheet scanned · results in EHR fields · declined screens documented as declined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Screening and licensing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ASQ-3 is a screening instrument: a below-cutoff domain is a positive screen requiring referral and evaluation, never a diagnosis; the monitoring zone obligates a documented, dated follow-up plan; the untotaled Overall section can require action despite above-cutoff domains; and corrected age (three or more weeks early, until 24 months) selects the questionnaire interval. The ASQ-3 is a licensed instrument of Paul H. Brookes Publishing Co.: reproduction is limited to the purchasing site's paper copies, electronic reproduction and EHR embedding require separate licenses, and no website may present or score the questionnaires. This template contains no questionnaire content and is not a substitute for the publisher's materials.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bastiongpt.com/template/asq-3</w:t>
    </w:r>
    <w:r>
      <w:rPr>
        <w:color w:val="64748B"/>
        <w:sz w:val="16"/>
        <w:szCs w:val="16"/>
      </w:rPr>
      <w:t xml:space="preserve">   ·   BastionGPT drafts complete ASQ-3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2026-08-26T02:12:14.583Z</dcterms:created>
  <dcterms:modified xsi:type="dcterms:W3CDTF">2026-08-26T02:12:14.584Z</dcterms:modified>
</cp:coreProperties>
</file>

<file path=docProps/custom.xml><?xml version="1.0" encoding="utf-8"?>
<Properties xmlns="http://schemas.openxmlformats.org/officeDocument/2006/custom-properties" xmlns:vt="http://schemas.openxmlformats.org/officeDocument/2006/docPropsVTypes"/>
</file>