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BDI-II Documentation Template</w:t>
      </w:r>
    </w:p>
    <w:p>
      <w:pPr>
        <w:pBdr>
          <w:bottom w:val="single" w:color="000000" w:sz="18"/>
        </w:pBdr>
        <w:spacing w:after="80"/>
      </w:pPr>
      <w:r>
        <w:rPr>
          <w:color w:val="64748B"/>
          <w:sz w:val="16"/>
          <w:szCs w:val="16"/>
        </w:rPr>
        <w:t xml:space="preserve">Reviewed by the BastionGPT Clinical Advisory Board · August 2026 · Adapt fields to your organization’s, payer’s and jurisdiction’s documentation requirements. Contains no instrument content.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5315"/>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Instrument + edition + language:</w:t>
            </w:r>
          </w:p>
        </w:tc>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Mode (paper / on-screen / remote + conditions):</w:t>
            </w:r>
          </w:p>
        </w:tc>
      </w:tr>
    </w:tbl>
    <w:p>
      <w:pPr>
        <w:spacing w:after="20" w:before="30"/>
      </w:pPr>
      <w:r>
        <w:rPr>
          <w:b/>
          <w:bCs/>
          <w:color w:val="000000"/>
          <w:sz w:val="22"/>
          <w:szCs w:val="22"/>
        </w:rPr>
        <w:t xml:space="preserve">Completion</w:t>
      </w:r>
    </w:p>
    <w:p>
      <w:pPr>
        <w:spacing w:after="40"/>
      </w:pPr>
      <w:r>
        <w:rPr>
          <w:color w:val="64748B"/>
          <w:sz w:val="16"/>
          <w:szCs w:val="16"/>
        </w:rPr>
        <w:t xml:space="preserve">Complete or incomplete: extent, reason, plan · never prorate a partial against the 0-63 bands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Result</w:t>
      </w:r>
    </w:p>
    <w:p>
      <w:pPr>
        <w:spacing w:after="40"/>
      </w:pPr>
      <w:r>
        <w:rPr>
          <w:color w:val="64748B"/>
          <w:sz w:val="16"/>
          <w:szCs w:val="16"/>
        </w:rPr>
        <w:t xml:space="preserve">Total ___/63 · manual severity range with attribution (Beck, Steer, and Brown, 1996)</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Suicide item</w:t>
      </w:r>
    </w:p>
    <w:p>
      <w:pPr>
        <w:spacing w:after="40"/>
      </w:pPr>
      <w:r>
        <w:rPr>
          <w:color w:val="64748B"/>
          <w:sz w:val="16"/>
          <w:szCs w:val="16"/>
        </w:rPr>
        <w:t xml:space="preserve">Not endorsed / endorsed: separate risk assessment and where documented · never resolved by the total</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8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Trajectory</w:t>
      </w:r>
    </w:p>
    <w:p>
      <w:pPr>
        <w:spacing w:after="40"/>
      </w:pPr>
      <w:r>
        <w:rPr>
          <w:color w:val="64748B"/>
          <w:sz w:val="16"/>
          <w:szCs w:val="16"/>
        </w:rPr>
        <w:t xml:space="preserve">Prior total and date · absolute and percent change · method named, or raw change only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8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Integration</w:t>
      </w:r>
    </w:p>
    <w:p>
      <w:pPr>
        <w:spacing w:after="40"/>
      </w:pPr>
      <w:r>
        <w:rPr>
          <w:color w:val="64748B"/>
          <w:sz w:val="16"/>
          <w:szCs w:val="16"/>
        </w:rPr>
        <w:t xml:space="preserve">Interview, function, collateral: consistent or discordant, and how investigated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8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Limits</w:t>
      </w:r>
    </w:p>
    <w:p>
      <w:pPr>
        <w:spacing w:after="40"/>
      </w:pPr>
      <w:r>
        <w:rPr>
          <w:color w:val="64748B"/>
          <w:sz w:val="16"/>
          <w:szCs w:val="16"/>
        </w:rPr>
        <w:t xml:space="preserve">Somatic confounds · language and norms · response style · nonstandard conditions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Action and licensing</w:t>
      </w:r>
    </w:p>
    <w:p>
      <w:pPr>
        <w:spacing w:after="40"/>
      </w:pPr>
      <w:r>
        <w:rPr>
          <w:color w:val="64748B"/>
          <w:sz w:val="16"/>
          <w:szCs w:val="16"/>
        </w:rPr>
        <w:t xml:space="preserve">Risk, formulation, treatment intensity, follow-up interval · purchased form or usage; qualified user</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Severity-band and licensing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BDI-II is a licensed, test-secure Pearson instrument: every administration uses a purchased form or digital usage, and no item content belongs in this template or your EHR. The manual severity bands (through 13 minimal, 14 to 19 mild, 20 to 28 moderate, 29 to 63 severe) describe reported symptom burden, never a diagnosis, and no authority mandates a score for disability, surgery, or treatment. Assess any endorsed suicide item separately, whatever the total. Never prorate a partial administration, and claim reliable or clinically significant change only with a named method; otherwise chart raw and percentage change. This template contains no instrument content and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bastiongpt.com/template/bdi-ii</w:t>
    </w:r>
    <w:r>
      <w:rPr>
        <w:color w:val="64748B"/>
        <w:sz w:val="16"/>
        <w:szCs w:val="16"/>
      </w:rPr>
      <w:t xml:space="preserve">   ·   BastionGPT drafts complete BDI-II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2026-08-15T05:09:49.551Z</dcterms:created>
  <dcterms:modified xsi:type="dcterms:W3CDTF">2026-08-15T05:09:49.551Z</dcterms:modified>
</cp:coreProperties>
</file>

<file path=docProps/custom.xml><?xml version="1.0" encoding="utf-8"?>
<Properties xmlns="http://schemas.openxmlformats.org/officeDocument/2006/custom-properties" xmlns:vt="http://schemas.openxmlformats.org/officeDocument/2006/docPropsVTypes"/>
</file>