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Better Access Treatment Plan &amp; Referral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00"/>
        <w:gridCol w:w="2600"/>
        <w:gridCol w:w="3430"/>
      </w:tblGrid>
      <w:tr>
        <w:tc>
          <w:tcPr>
            <w:tcW w:type="dxa" w:w="46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Patient (initials):</w:t>
            </w:r>
          </w:p>
        </w:tc>
        <w:tc>
          <w:tcPr>
            <w:tcW w:type="dxa" w:w="26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DOB:</w:t>
            </w:r>
          </w:p>
        </w:tc>
        <w:tc>
          <w:tcPr>
            <w:tcW w:type="dxa" w:w="34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Plan date:</w:t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23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Referrer (GP or PMP):</w:t>
            </w:r>
          </w:p>
        </w:tc>
        <w:tc>
          <w:tcPr>
            <w:tcW w:type="dxa" w:w="52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MyMedicare / usual practitioner:</w:t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Agreement and copy</w:t>
      </w:r>
      <w:r>
        <w:rPr>
          <w:color w:val="64748B"/>
          <w:sz w:val="15"/>
          <w:szCs w:val="15"/>
        </w:rPr>
        <w:t xml:space="preserve">   agreement to proceed recorded; copy offered to the patient before claiming; copy filed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Outcome tool and score</w:t>
      </w:r>
      <w:r>
        <w:rPr>
          <w:color w:val="64748B"/>
          <w:sz w:val="15"/>
          <w:szCs w:val="15"/>
        </w:rPr>
        <w:t xml:space="preserve">   tool and score, or why clinically inappropriate; same tool re-administered at review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Formulation and diagnosis</w:t>
      </w:r>
      <w:r>
        <w:rPr>
          <w:color w:val="64748B"/>
          <w:sz w:val="15"/>
          <w:szCs w:val="15"/>
        </w:rPr>
        <w:t xml:space="preserve">   provisional or formal diagnosis with the supporting history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Goals agreed with the patient</w:t>
      </w:r>
      <w:r>
        <w:rPr>
          <w:color w:val="64748B"/>
          <w:sz w:val="15"/>
          <w:szCs w:val="15"/>
        </w:rPr>
        <w:t xml:space="preserve">   individualised goals in the patient’s own priorities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Treatment, patient actions, education</w:t>
      </w:r>
      <w:r>
        <w:rPr>
          <w:color w:val="64748B"/>
          <w:sz w:val="15"/>
          <w:szCs w:val="15"/>
        </w:rPr>
        <w:t xml:space="preserve">   options discussed, actions agreed, education provided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Crisis intervention / relapse prevention</w:t>
      </w:r>
      <w:r>
        <w:rPr>
          <w:color w:val="64748B"/>
          <w:sz w:val="15"/>
          <w:szCs w:val="15"/>
        </w:rPr>
        <w:t xml:space="preserve">   early warning signs, contacts, supports, review and follow-up arranged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60"/>
      </w:pPr>
      <w:r>
        <w:rPr>
          <w:b/>
          <w:bCs/>
          <w:color w:val="000000"/>
          <w:sz w:val="22"/>
          <w:szCs w:val="22"/>
        </w:rPr>
        <w:t xml:space="preserve">Referral (separate document)</w:t>
      </w:r>
      <w:r>
        <w:rPr>
          <w:color w:val="64748B"/>
          <w:sz w:val="15"/>
          <w:szCs w:val="15"/>
        </w:rPr>
        <w:t xml:space="preserve">   patient name, DOB, address; symptoms or diagnosis; medications; number of services; plan statement; signed and dated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5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463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Referrer signature:</w:t>
            </w:r>
          </w:p>
        </w:tc>
        <w:tc>
          <w:tcPr>
            <w:tcW w:type="dxa" w:w="4630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 plan: </w:t>
    </w:r>
    <w:r>
      <w:rPr>
        <w:b/>
        <w:bCs/>
        <w:color w:val="000000"/>
        <w:sz w:val="16"/>
        <w:szCs w:val="16"/>
      </w:rPr>
      <w:t xml:space="preserve">bastiongpt.com/template/better-access-treatment-plan</w:t>
    </w:r>
    <w:r>
      <w:rPr>
        <w:color w:val="64748B"/>
        <w:sz w:val="16"/>
        <w:szCs w:val="16"/>
      </w:rPr>
      <w:t xml:space="preserve">   ·   BastionGPT drafts the plan and referral from your notes.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2026-07-23T19:17:30.060Z</dcterms:created>
  <dcterms:modified xsi:type="dcterms:W3CDTF">2026-07-23T19:17:30.061Z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