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Bishop Documentation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scoring table or guideline table.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4600"/>
        <w:gridCol w:w="6030"/>
      </w:tblGrid>
      <w:tr>
        <w:tc>
          <w:tcPr>
            <w:tcW w:type="dxa" w:w="46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Indication + gestational age:</w:t>
            </w:r>
          </w:p>
        </w:tc>
        <w:tc>
          <w:tcPr>
            <w:tcW w:type="dxa" w:w="60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Version used (classic / modified / simplified):</w:t>
            </w:r>
          </w:p>
        </w:tc>
      </w:tr>
    </w:tbl>
    <w:p>
      <w:pPr>
        <w:spacing w:after="20" w:before="30"/>
      </w:pPr>
      <w:r>
        <w:rPr>
          <w:b/>
          <w:bCs/>
          <w:color w:val="000000"/>
          <w:sz w:val="22"/>
          <w:szCs w:val="22"/>
        </w:rPr>
        <w:t xml:space="preserve">Indication and induction decision</w:t>
      </w:r>
    </w:p>
    <w:p>
      <w:pPr>
        <w:spacing w:after="40"/>
      </w:pPr>
      <w:r>
        <w:rPr>
          <w:color w:val="64748B"/>
          <w:sz w:val="16"/>
          <w:szCs w:val="16"/>
        </w:rPr>
        <w:t xml:space="preserve">Indication for induction · gestational age and dating method · parity · the decision to induce rests on the indication, not on the cervical findings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Examination time, examiner, and consent</w:t>
      </w:r>
    </w:p>
    <w:p>
      <w:pPr>
        <w:spacing w:after="40"/>
      </w:pPr>
      <w:r>
        <w:rPr>
          <w:color w:val="64748B"/>
          <w:sz w:val="16"/>
          <w:szCs w:val="16"/>
        </w:rPr>
        <w:t xml:space="preserve">Date and time of the digital examination · examiner name and role · the patient's agreement to the examination · serial examinations kept as separate entries with each examiner named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Five findings, in their units</w:t>
      </w:r>
    </w:p>
    <w:p>
      <w:pPr>
        <w:spacing w:after="40"/>
      </w:pPr>
      <w:r>
        <w:rPr>
          <w:color w:val="64748B"/>
          <w:sz w:val="16"/>
          <w:szCs w:val="16"/>
        </w:rPr>
        <w:t xml:space="preserve">Dilation in cm · effacement as a percentage, or cervical length in cm, stating which · station on the thirds scale or the centimeter scale, stating which · consistency · position · findings recorded before the total</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Version named and total</w:t>
      </w:r>
    </w:p>
    <w:p>
      <w:pPr>
        <w:spacing w:after="40"/>
      </w:pPr>
      <w:r>
        <w:rPr>
          <w:color w:val="64748B"/>
          <w:sz w:val="16"/>
          <w:szCs w:val="16"/>
        </w:rPr>
        <w:t xml:space="preserve">Classic five-component score, 0 to 13 · length-based modified version, named · simplified Laughon score, 0 to 9 · a named local variant · total written with its maximum</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Membranes, fetal status, and method factors</w:t>
      </w:r>
    </w:p>
    <w:p>
      <w:pPr>
        <w:spacing w:after="40"/>
      </w:pPr>
      <w:r>
        <w:rPr>
          <w:color w:val="64748B"/>
          <w:sz w:val="16"/>
          <w:szCs w:val="16"/>
        </w:rPr>
        <w:t xml:space="preserve">Membrane status · presentation · fetal heart rate tracing category · prior cesarean or uterine surgery · placental site · cerclage · allergies and any contraindication to a ripening method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Reading under a named convention, and plan</w:t>
      </w:r>
    </w:p>
    <w:p>
      <w:pPr>
        <w:spacing w:after="40"/>
      </w:pPr>
      <w:r>
        <w:rPr>
          <w:color w:val="64748B"/>
          <w:sz w:val="16"/>
          <w:szCs w:val="16"/>
        </w:rPr>
        <w:t xml:space="preserve">Favorable or unfavorable attributed to the guideline or unit pathway that sets the threshold · method chosen (mechanical, pharmacologic, combination, amniotomy and oxytocin, expectant) · reasons beyond the score · counseling and consent recorded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Reassessment and record</w:t>
      </w:r>
    </w:p>
    <w:p>
      <w:pPr>
        <w:spacing w:after="40"/>
      </w:pPr>
      <w:r>
        <w:rPr>
          <w:color w:val="64748B"/>
          <w:sz w:val="16"/>
          <w:szCs w:val="16"/>
        </w:rPr>
        <w:t xml:space="preserve">Repeat examination per the method protocol with new time, examiner, five findings, version, and total · change described with both examinations retained · where the entry and the flowsheet total are stored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Scoring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Bishop score summarizes one digital cervical examination in five components (dilation, effacement, station, consistency, and position) and a total; the classic version runs 0 to 13, length-based modified versions and the simplified three-component version have different ranges, so a total is interpretable only with its version, its component findings in the units assessed, the examiner, and the time. Favorable and unfavorable are guideline conventions that differ between ACOG, SOGC, NICE, and Australian state guidelines, and no law, payer, or accreditor sets a Bishop threshold, so any threshold in the record is attributed to the guideline or unit pathway that states it. The score describes cervical readiness for induction: it does not decide whether to induce, does not choose the ripening method by itself, and does not predict cesarean delivery. The scoring method (Edward Bishop, 1964) is in the public domain; the published article and the tables in guideline documents are their publishers' copyright and are not reproduced here. This template contains no scoring table and is not a substitute for your unit's induction pathway.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bastiongpt.com/template/bishop-score</w:t>
    </w:r>
    <w:r>
      <w:rPr>
        <w:color w:val="64748B"/>
        <w:sz w:val="16"/>
        <w:szCs w:val="16"/>
      </w:rPr>
      <w:t xml:space="preserve">   ·   BastionGPT drafts complete Bishop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2026-09-05T17:46:08.502Z</dcterms:created>
  <dcterms:modified xsi:type="dcterms:W3CDTF">2026-09-05T17:46:08.502Z</dcterms:modified>
</cp:coreProperties>
</file>

<file path=docProps/custom.xml><?xml version="1.0" encoding="utf-8"?>
<Properties xmlns="http://schemas.openxmlformats.org/officeDocument/2006/custom-properties" xmlns:vt="http://schemas.openxmlformats.org/officeDocument/2006/docPropsVTypes"/>
</file>