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000000"/>
          <w:sz w:val="34"/>
          <w:szCs w:val="34"/>
        </w:rPr>
        <w:t xml:space="preserve">Boston Naming Test Documentation Template</w:t>
      </w:r>
    </w:p>
    <w:p>
      <w:pPr>
        <w:pBdr>
          <w:bottom w:val="single" w:color="000000" w:sz="18"/>
        </w:pBdr>
        <w:spacing w:after="80"/>
      </w:pPr>
      <w:r>
        <w:rPr>
          <w:color w:val="64748B"/>
          <w:sz w:val="16"/>
          <w:szCs w:val="16"/>
        </w:rPr>
        <w:t xml:space="preserve">Reviewed by the BastionGPT Clinical Advisory Board · August 2026 · Adapt fields to your organization’s, payer’s and jurisdiction’s documentation requirements. Contains no test content.</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2657"/>
        <w:gridCol w:w="2126"/>
        <w:gridCol w:w="2126"/>
        <w:gridCol w:w="3721"/>
      </w:tblGrid>
      <w:tr>
        <w:tc>
          <w:tcPr>
            <w:tcW w:type="dxa" w:w="2657"/>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Setting:</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Patient (initials):</w:t>
            </w:r>
          </w:p>
        </w:tc>
        <w:tc>
          <w:tcPr>
            <w:tcW w:type="dxa" w:w="2126"/>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c>
          <w:tcPr>
            <w:tcW w:type="dxa" w:w="372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102"/>
        <w:gridCol w:w="5528"/>
      </w:tblGrid>
      <w:tr>
        <w:tc>
          <w:tcPr>
            <w:tcW w:type="dxa" w:w="5102"/>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Form + edition + stimulus set:</w:t>
            </w:r>
          </w:p>
        </w:tc>
        <w:tc>
          <w:tcPr>
            <w:tcW w:type="dxa" w:w="5528"/>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Norm source + corrections applied:</w:t>
            </w:r>
          </w:p>
        </w:tc>
      </w:tr>
    </w:tbl>
    <w:p>
      <w:pPr>
        <w:spacing w:after="20" w:before="30"/>
      </w:pPr>
      <w:r>
        <w:rPr>
          <w:b/>
          <w:bCs/>
          <w:color w:val="000000"/>
          <w:sz w:val="22"/>
          <w:szCs w:val="22"/>
        </w:rPr>
        <w:t xml:space="preserve">Referral context and administration</w:t>
      </w:r>
    </w:p>
    <w:p>
      <w:pPr>
        <w:spacing w:after="40"/>
      </w:pPr>
      <w:r>
        <w:rPr>
          <w:color w:val="64748B"/>
          <w:sz w:val="16"/>
          <w:szCs w:val="16"/>
        </w:rPr>
        <w:t xml:space="preserve">Battery context · language of testing · route: basal-discontinuation (rule as applied) or all-items · deviations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Cue accounting</w:t>
      </w:r>
    </w:p>
    <w:p>
      <w:pPr>
        <w:spacing w:after="40"/>
      </w:pPr>
      <w:r>
        <w:rPr>
          <w:color w:val="64748B"/>
          <w:sz w:val="16"/>
          <w:szCs w:val="16"/>
        </w:rPr>
        <w:t xml:space="preserve">Spontaneous correct · stimulus-cued correct (counted) · countable total · phonemic-cued correct (recorded, not counted)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Error pattern</w:t>
      </w:r>
    </w:p>
    <w:p>
      <w:pPr>
        <w:spacing w:after="40"/>
      </w:pPr>
      <w:r>
        <w:rPr>
          <w:color w:val="64748B"/>
          <w:sz w:val="16"/>
          <w:szCs w:val="16"/>
        </w:rPr>
        <w:t xml:space="preserve">Semantic and phonemic paraphasias · circumlocutions · visual misperceptions · omissions · perseverations</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Standardized result</w:t>
      </w:r>
    </w:p>
    <w:p>
      <w:pPr>
        <w:spacing w:after="40"/>
      </w:pPr>
      <w:r>
        <w:rPr>
          <w:color w:val="64748B"/>
          <w:sz w:val="16"/>
          <w:szCs w:val="16"/>
        </w:rPr>
        <w:t xml:space="preserve">Norm system + year · exact inputs · standardized score or range · examinee representation confirmed</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0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Language, culture, and validity</w:t>
      </w:r>
    </w:p>
    <w:p>
      <w:pPr>
        <w:spacing w:after="40"/>
      </w:pPr>
      <w:r>
        <w:rPr>
          <w:color w:val="64748B"/>
          <w:sz w:val="16"/>
          <w:szCs w:val="16"/>
        </w:rPr>
        <w:t xml:space="preserve">Dominance · acquisition · education language · immigration history · other-language responses (separate) · vision and hearing · conclusion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6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Interpretation</w:t>
      </w:r>
    </w:p>
    <w:p>
      <w:pPr>
        <w:spacing w:after="40"/>
      </w:pPr>
      <w:r>
        <w:rPr>
          <w:color w:val="64748B"/>
          <w:sz w:val="16"/>
          <w:szCs w:val="16"/>
        </w:rPr>
        <w:t xml:space="preserve">Retrieval vs semantic shape from the cue profile · convergence within the evaluation · what the score does not establish</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4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Prior testing and change plan</w:t>
      </w:r>
    </w:p>
    <w:p>
      <w:pPr>
        <w:spacing w:after="40"/>
      </w:pPr>
      <w:r>
        <w:rPr>
          <w:color w:val="64748B"/>
          <w:sz w:val="16"/>
          <w:szCs w:val="16"/>
        </w:rPr>
        <w:t xml:space="preserve">Prior form, set, rule, norms · reliable-change frame · no cross-form arithmetic · plan</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rPr>
          <w:trHeight w:val="320" w:hRule="atLeast"/>
        </w:trPr>
        <w:tc>
          <w:tcPr>
            <w:tcW w:type="dxa" w:w="10630"/>
            <w:tcBorders>
              <w:top w:val="single" w:color="767676" w:sz="6"/>
              <w:left w:val="single" w:color="767676" w:sz="6"/>
              <w:bottom w:val="single" w:color="767676" w:sz="6"/>
              <w:right w:val="single" w:color="767676" w:sz="6"/>
            </w:tcBorders>
            <w:tcMar>
              <w:top w:type="dxa" w:w="100"/>
              <w:left w:type="dxa" w:w="120"/>
              <w:bottom w:type="dxa" w:w="100"/>
              <w:right w:type="dxa" w:w="120"/>
            </w:tcMar>
          </w:tcPr>
          <w:p>
            <w:r>
              <w:rPr>
                <w:sz w:val="20"/>
                <w:szCs w:val="20"/>
              </w:rPr>
              <w:t xml:space="preserve"/>
            </w:r>
          </w:p>
        </w:tc>
      </w:tr>
    </w:tbl>
    <w:p>
      <w:pPr>
        <w:spacing w:after="20" w:before="30"/>
      </w:pPr>
      <w:r>
        <w:rPr>
          <w:b/>
          <w:bCs/>
          <w:color w:val="000000"/>
          <w:sz w:val="22"/>
          <w:szCs w:val="22"/>
        </w:rPr>
        <w:t xml:space="preserve">Scoring and rights notice (keep with every template)</w:t>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10630"/>
      </w:tblGrid>
      <w:tr>
        <w:tc>
          <w:tcPr>
            <w:tcW w:type="dxa" w:w="10630"/>
            <w:tcBorders>
              <w:top w:val="single" w:color="767676" w:sz="6"/>
              <w:left w:val="single" w:color="767676" w:sz="6"/>
              <w:bottom w:val="single" w:color="767676" w:sz="6"/>
              <w:right w:val="single" w:color="767676" w:sz="6"/>
            </w:tcBorders>
            <w:tcMar>
              <w:top w:type="dxa" w:w="90"/>
              <w:left w:type="dxa" w:w="120"/>
              <w:bottom w:type="dxa" w:w="90"/>
              <w:right w:type="dxa" w:w="120"/>
            </w:tcMar>
          </w:tcPr>
          <w:p>
            <w:r>
              <w:rPr>
                <w:color w:val="111827"/>
                <w:sz w:val="16"/>
                <w:szCs w:val="16"/>
              </w:rPr>
              <w:t xml:space="preserve">The Boston Naming Test's countable total is spontaneous correct plus stimulus-cued correct; responses retrieved only after phonemic cues are recorded separately and never credited. The discontinuation rule differs by edition and interpretation, short forms are separate score systems (the CERAD 15-item form cannot be prorated to a full-form score), no universal cutoff exists, and monolingual English norms mislead on bilingual and recently immigrated examinees. The BNT-2 is published by PRO-ED, Inc.; its pictures, target words, record forms, and norm tables may not be reproduced in print, EHRs, or web tools without written permission. This template contains no test content and is not a substitute for the publisher's materials. This is general documentation guidance, not clinical or legal advice.</w:t>
            </w:r>
          </w:p>
        </w:tc>
      </w:tr>
    </w:tbl>
    <w:p>
      <w:pPr>
        <w:spacing w:before="0"/>
      </w:pPr>
      <w:r>
        <w:rPr>
          <w:sz w:val="2"/>
          <w:szCs w:val="2"/>
        </w:rPr>
        <w:t xml:space="preserve"/>
      </w:r>
    </w:p>
    <w:tbl>
      <w:tblPr>
        <w:tblW w:type="dxa" w:w="10630"/>
        <w:tblBorders>
          <w:top w:val="single" w:color="auto" w:sz="4"/>
          <w:left w:val="single" w:color="auto" w:sz="4"/>
          <w:bottom w:val="single" w:color="auto" w:sz="4"/>
          <w:right w:val="single" w:color="auto" w:sz="4"/>
          <w:insideH w:val="single" w:color="auto" w:sz="4"/>
          <w:insideV w:val="single" w:color="auto" w:sz="4"/>
        </w:tblBorders>
      </w:tblPr>
      <w:tblGrid>
        <w:gridCol w:w="5315"/>
        <w:gridCol w:w="3544"/>
        <w:gridCol w:w="1771"/>
      </w:tblGrid>
      <w:tr>
        <w:tc>
          <w:tcPr>
            <w:tcW w:type="dxa" w:w="5315"/>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Clinician (name and credentials):</w:t>
            </w:r>
          </w:p>
        </w:tc>
        <w:tc>
          <w:tcPr>
            <w:tcW w:type="dxa" w:w="3544"/>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Signature:</w:t>
            </w:r>
          </w:p>
        </w:tc>
        <w:tc>
          <w:tcPr>
            <w:tcW w:type="dxa" w:w="1771"/>
            <w:tcBorders>
              <w:top w:val="none" w:color="FFFFFF" w:sz="0"/>
              <w:left w:val="none" w:color="FFFFFF" w:sz="0"/>
              <w:bottom w:val="single" w:color="767676" w:sz="8"/>
              <w:right w:val="none" w:color="FFFFFF" w:sz="0"/>
            </w:tcBorders>
            <w:tcMar>
              <w:top w:type="dxa" w:w="50"/>
              <w:left w:type="dxa" w:w="40"/>
              <w:bottom w:type="dxa" w:w="50"/>
              <w:right w:type="dxa" w:w="40"/>
            </w:tcMar>
          </w:tcPr>
          <w:p>
            <w:r>
              <w:rPr>
                <w:color w:val="334155"/>
                <w:sz w:val="18"/>
                <w:szCs w:val="18"/>
              </w:rPr>
              <w:t xml:space="preserve">Date:</w:t>
            </w:r>
          </w:p>
        </w:tc>
      </w:tr>
    </w:tbl>
    <w:sectPr>
      <w:footerReference w:type="default" r:id="rId7"/>
      <w:pgSz w:w="12240" w:h="15840" w:orient="portrait"/>
      <w:pgMar w:top="720" w:right="810" w:bottom="720" w:left="810" w:header="708" w:footer="340"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4748B"/>
        <w:sz w:val="16"/>
        <w:szCs w:val="16"/>
      </w:rPr>
      <w:t xml:space="preserve">Full guide, sample note, and compliance notes: </w:t>
    </w:r>
    <w:r>
      <w:rPr>
        <w:b/>
        <w:bCs/>
        <w:color w:val="000000"/>
        <w:sz w:val="16"/>
        <w:szCs w:val="16"/>
      </w:rPr>
      <w:t xml:space="preserve">bastiongpt.com/template/boston-naming-test</w:t>
    </w:r>
    <w:r>
      <w:rPr>
        <w:color w:val="64748B"/>
        <w:sz w:val="16"/>
        <w:szCs w:val="16"/>
      </w:rPr>
      <w:t xml:space="preserve">   ·   BastionGPT drafts complete BNT documentation for your review. Free 7-day trial.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2026-08-26T02:06:17.310Z</dcterms:created>
  <dcterms:modified xsi:type="dcterms:W3CDTF">2026-08-26T02:06:17.311Z</dcterms:modified>
</cp:coreProperties>
</file>

<file path=docProps/custom.xml><?xml version="1.0" encoding="utf-8"?>
<Properties xmlns="http://schemas.openxmlformats.org/officeDocument/2006/custom-properties" xmlns:vt="http://schemas.openxmlformats.org/officeDocument/2006/docPropsVTypes"/>
</file>