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Braden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scale descriptors or rating anchors.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800"/>
        <w:gridCol w:w="4830"/>
      </w:tblGrid>
      <w:tr>
        <w:tc>
          <w:tcPr>
            <w:tcW w:type="dxa" w:w="58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Trigger (admission / transfer / policy / change):</w:t>
            </w:r>
          </w:p>
        </w:tc>
        <w:tc>
          <w:tcPr>
            <w:tcW w:type="dxa" w:w="48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Version + facility risk protocol:</w:t>
            </w:r>
          </w:p>
        </w:tc>
      </w:tr>
    </w:tbl>
    <w:p>
      <w:pPr>
        <w:spacing w:after="20" w:before="30"/>
      </w:pPr>
      <w:r>
        <w:rPr>
          <w:b/>
          <w:bCs/>
          <w:color w:val="000000"/>
          <w:sz w:val="22"/>
          <w:szCs w:val="22"/>
        </w:rPr>
        <w:t xml:space="preserve">Six subscale ratings and total</w:t>
      </w:r>
    </w:p>
    <w:p>
      <w:pPr>
        <w:spacing w:after="40"/>
      </w:pPr>
      <w:r>
        <w:rPr>
          <w:color w:val="64748B"/>
          <w:sz w:val="16"/>
          <w:szCs w:val="16"/>
        </w:rPr>
        <w:t xml:space="preserve">Sensory perception ___ · moisture ___ · activity ___ · mobility ___ · nutrition ___ · friction and shear ___ · total ___ of 23 · prior total and date · basis for low ratings in plain clinical words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Facility risk category</w:t>
      </w:r>
    </w:p>
    <w:p>
      <w:pPr>
        <w:spacing w:after="40"/>
      </w:pPr>
      <w:r>
        <w:rPr>
          <w:color w:val="64748B"/>
          <w:sz w:val="16"/>
          <w:szCs w:val="16"/>
        </w:rPr>
        <w:t xml:space="preserve">Category assigned by the facility protocol, with the protocol name · categories are policy conventions, not the scale’s rule · protocol tier that applies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Skin and device-site inspection</w:t>
      </w:r>
    </w:p>
    <w:p>
      <w:pPr>
        <w:spacing w:after="40"/>
      </w:pPr>
      <w:r>
        <w:rPr>
          <w:color w:val="64748B"/>
          <w:sz w:val="16"/>
          <w:szCs w:val="16"/>
        </w:rPr>
        <w:t xml:space="preserve">Separate visual and tactile inspection · pressure points and each device site · intact, or location, laterality, and description · present on admission determination and staging documented elsewhere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Interventions for low subscales</w:t>
      </w:r>
    </w:p>
    <w:p>
      <w:pPr>
        <w:spacing w:after="40"/>
      </w:pPr>
      <w:r>
        <w:rPr>
          <w:color w:val="64748B"/>
          <w:sz w:val="16"/>
          <w:szCs w:val="16"/>
        </w:rPr>
        <w:t xml:space="preserve">For each low rating, the measure in place or started and how it is delivered: surface type · repositioning interval and assist level · heel offloading · moisture regimen · intake monitoring and dietitian referral · transfer technique · teaching and surveillance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Patient response and refusal</w:t>
      </w:r>
    </w:p>
    <w:p>
      <w:pPr>
        <w:spacing w:after="40"/>
      </w:pPr>
      <w:r>
        <w:rPr>
          <w:color w:val="64748B"/>
          <w:sz w:val="16"/>
          <w:szCs w:val="16"/>
        </w:rPr>
        <w:t xml:space="preserve">Accepted, or declined: what was offered, the stated reason, education given, alternatives offered or accepted, who was notified, plan revised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Reassessment date and triggers</w:t>
      </w:r>
    </w:p>
    <w:p>
      <w:pPr>
        <w:spacing w:after="40"/>
      </w:pPr>
      <w:r>
        <w:rPr>
          <w:color w:val="64748B"/>
          <w:sz w:val="16"/>
          <w:szCs w:val="16"/>
        </w:rPr>
        <w:t xml:space="preserve">Next scheduled reassessment per policy · earlier for transfer, surgery, new sedation or immobility, incontinence, falling intake or weight, fever, any new skin finding</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Communication and care plan</w:t>
      </w:r>
    </w:p>
    <w:p>
      <w:pPr>
        <w:spacing w:after="40"/>
      </w:pPr>
      <w:r>
        <w:rPr>
          <w:color w:val="64748B"/>
          <w:sz w:val="16"/>
          <w:szCs w:val="16"/>
        </w:rPr>
        <w:t xml:space="preserve">Provider, dietitian, therapy, skin team notified with times · care plan problem and goal revised · handoff, transfer summary, MDS or OASIS coordinator informed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Scoring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Braden Scale for Predicting Pressure Sore Risk rates six subscales for a total of 6 to 23; a lower total means higher pressure injury risk. The total is a risk signal, not a care plan: a low rating on any subscale calls for its own preventive measure regardless of the total, the risk categories attached to the total are facility protocol conventions rather than the instrument’s rule, and the scale never replaces a separate visual and tactile skin inspection, which is what present on admission status and staging rest on. No regulator in the United States, Canada, or Australia requires the Braden by name or sets its interval; every-shift and two-hour habits are policy. The scale is copyrighted (Barbara Braden and Nancy Bergstrom, 1988) and licensed through Health Sense Ai, a subsidiary of HD Nursing; the Braden Scale II is available only under license, and forms, electronic builds, and web tools need the rights holder’s permission. This template contains no subscale descriptors or rating anchors and is not a substitute for the licensed instrument.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bastiongpt.com/template/braden-scale</w:t>
    </w:r>
    <w:r>
      <w:rPr>
        <w:color w:val="64748B"/>
        <w:sz w:val="16"/>
        <w:szCs w:val="16"/>
      </w:rPr>
      <w:t xml:space="preserve">   ·   BastionGPT drafts complete Braden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2026-09-05T16:26:11.732Z</dcterms:created>
  <dcterms:modified xsi:type="dcterms:W3CDTF">2026-09-05T16:26:11.733Z</dcterms:modified>
</cp:coreProperties>
</file>

<file path=docProps/custom.xml><?xml version="1.0" encoding="utf-8"?>
<Properties xmlns="http://schemas.openxmlformats.org/officeDocument/2006/custom-properties" xmlns:vt="http://schemas.openxmlformats.org/officeDocument/2006/docPropsVTypes"/>
</file>