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Clock Drawing Test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890"/>
        <w:gridCol w:w="5740"/>
      </w:tblGrid>
      <w:tr>
        <w:tc>
          <w:tcPr>
            <w:tcW w:type="dxa" w:w="489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System + range + direction:</w:t>
            </w:r>
          </w:p>
        </w:tc>
        <w:tc>
          <w:tcPr>
            <w:tcW w:type="dxa" w:w="574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Condition + substrate + time requested:</w:t>
            </w:r>
          </w:p>
        </w:tc>
      </w:tr>
    </w:tbl>
    <w:p>
      <w:pPr>
        <w:spacing w:after="20" w:before="30"/>
      </w:pPr>
      <w:r>
        <w:rPr>
          <w:b/>
          <w:bCs/>
          <w:color w:val="000000"/>
          <w:sz w:val="22"/>
          <w:szCs w:val="22"/>
        </w:rPr>
        <w:t xml:space="preserve">Indication and instrument status</w:t>
      </w:r>
    </w:p>
    <w:p>
      <w:pPr>
        <w:spacing w:after="40"/>
      </w:pPr>
      <w:r>
        <w:rPr>
          <w:color w:val="64748B"/>
          <w:sz w:val="16"/>
          <w:szCs w:val="16"/>
        </w:rPr>
        <w:t xml:space="preserve">Why drawn · standalone or embedded (MoCA / Mini-Cog / SLUMS component stays with its parent)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Administration integrity</w:t>
      </w:r>
    </w:p>
    <w:p>
      <w:pPr>
        <w:spacing w:after="40"/>
      </w:pPr>
      <w:r>
        <w:rPr>
          <w:color w:val="64748B"/>
          <w:sz w:val="16"/>
          <w:szCs w:val="16"/>
        </w:rPr>
        <w:t xml:space="preserve">Repetitions · cueing · restarts and which attempt scored · corrections · refusal · first attempt kept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Score and qualitative description</w:t>
      </w:r>
    </w:p>
    <w:p>
      <w:pPr>
        <w:spacing w:after="40"/>
      </w:pPr>
      <w:r>
        <w:rPr>
          <w:color w:val="64748B"/>
          <w:sz w:val="16"/>
          <w:szCs w:val="16"/>
        </w:rPr>
        <w:t xml:space="preserve">Numeric score · omissions · duplications · spacing · sequence · hand placement · stimulus-bound response · perseveration · graphic difficulty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Copy condition (if given)</w:t>
      </w:r>
    </w:p>
    <w:p>
      <w:pPr>
        <w:spacing w:after="40"/>
      </w:pPr>
      <w:r>
        <w:rPr>
          <w:color w:val="64748B"/>
          <w:sz w:val="16"/>
          <w:szCs w:val="16"/>
        </w:rPr>
        <w:t xml:space="preserve">Score + description under the same system · command-copy contrast stated as an observation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Confounds and validity</w:t>
      </w:r>
    </w:p>
    <w:p>
      <w:pPr>
        <w:spacing w:after="40"/>
      </w:pPr>
      <w:r>
        <w:rPr>
          <w:color w:val="64748B"/>
          <w:sz w:val="16"/>
          <w:szCs w:val="16"/>
        </w:rPr>
        <w:t xml:space="preserve">Vision · hearing · motor and tremor · literacy · analog-clock familiarity · medications · delirium status · conclusion: interpretable / with caution / not interpretable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and disclosure</w:t>
      </w:r>
    </w:p>
    <w:p>
      <w:pPr>
        <w:spacing w:after="40"/>
      </w:pPr>
      <w:r>
        <w:rPr>
          <w:color w:val="64748B"/>
          <w:sz w:val="16"/>
          <w:szCs w:val="16"/>
        </w:rPr>
        <w:t xml:space="preserve">Screen result only · what it does not establish · plain-terms disclosure and who was present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Retention, plan, and owner</w:t>
      </w:r>
    </w:p>
    <w:p>
      <w:pPr>
        <w:spacing w:after="40"/>
      </w:pPr>
      <w:r>
        <w:rPr>
          <w:color w:val="64748B"/>
          <w:sz w:val="16"/>
          <w:szCs w:val="16"/>
        </w:rPr>
        <w:t xml:space="preserve">Drawing scanned · collateral and function · medication review · fuller assessment or referral · owner and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versions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clock drawing test is a family of separately published scoring systems (Shulman, Sunderland, Mendez, Rouleau, Freedman, CLOX, Freund, and others) plus embedded clocks inside the MoCA and Mini-Cog that belong to their parent instruments; ranges, directions, conditions, and requested times differ, and scores do not convert between systems. A clock score is uninterpretable without the named system with its range and direction, the condition, the substrate, and the exact time requested, and no result diagnoses dementia, determines decisional capacity, or decides driving fitness; sensitivity for mild cognitive impairment is poor, and analog-clock unfamiliarity in younger adults is a documented confound. Published rubric tables and branded instruments remain their rights holders' property; describe methods in your own words and follow the MoCA and Mini-Cog terms for their clocks. This template contains no test content and is not a substitute for any published system.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bastiongpt.com/template/clock-drawing-test</w:t>
    </w:r>
    <w:r>
      <w:rPr>
        <w:color w:val="64748B"/>
        <w:sz w:val="16"/>
        <w:szCs w:val="16"/>
      </w:rPr>
      <w:t xml:space="preserve">   ·   BastionGPT drafts complete CDT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2026-08-26T02:00:21.069Z</dcterms:created>
  <dcterms:modified xsi:type="dcterms:W3CDTF">2026-08-26T02:00:21.070Z</dcterms:modified>
</cp:coreProperties>
</file>

<file path=docProps/custom.xml><?xml version="1.0" encoding="utf-8"?>
<Properties xmlns="http://schemas.openxmlformats.org/officeDocument/2006/custom-properties" xmlns:vt="http://schemas.openxmlformats.org/officeDocument/2006/docPropsVTypes"/>
</file>