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Communication Log / Portal Message Note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name: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contact: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Time and mode (portal / phone / text / email):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Initiated by (client / clinician / staff / other):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Participants and identity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Who was on each end · how identity was confirmed · collateral contacts named as such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Substance of contact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Summarize what was clinically material · point to the retained thread instead of re-typing it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Clinical assessment / risk</w:t>
      </w:r>
    </w:p>
    <w:p>
      <w:pPr>
        <w:spacing w:after="40"/>
      </w:pPr>
      <w:r>
        <w:rPr>
          <w:color w:val="64748B"/>
          <w:sz w:val="16"/>
          <w:szCs w:val="16"/>
        </w:rPr>
        <w:t xml:space="preserve">Your judgment on what was conveyed · risk screening whenever symptoms or risk appear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Action taken / follow-up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Advice, changes, scheduling, referral, escalation · owner and date · any resulting visit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Billing status, time, and consent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Not billed (documentation only), or: code · time this contact · cumulative 7-day time · consent date · related visit within prior 7 days / next 24 hours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4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Author (name /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Supervisor cosign (if required):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bastiongpt.com/template/communication-log</w:t>
    </w:r>
    <w:r>
      <w:rPr>
        <w:color w:val="64748B"/>
        <w:sz w:val="16"/>
        <w:szCs w:val="16"/>
      </w:rPr>
      <w:t xml:space="preserve">   ·   BastionGPT drafts complete log entries from a pasted thread.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2026-07-31T00:17:28.549Z</dcterms:created>
  <dcterms:modified xsi:type="dcterms:W3CDTF">2026-07-31T00:17:28.550Z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