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Culturally Safe Assessment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Aboriginal and Torres Strait Islander clients · 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(initials, age):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Date(s) and setting: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(name, role):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Indigenous status (self-reported; ask every client):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Interpreter (language, used):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Aboriginal Health Worker or liaison involved: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Consent and participation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who the client wants involved · family and kinship consent · what may be recorded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Presenting concern and the client’s priorities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the client’s own words first · the referral question answered second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Social and emotional wellbeing</w:t>
      </w:r>
    </w:p>
    <w:p>
      <w:pPr>
        <w:spacing w:after="40"/>
      </w:pPr>
      <w:r>
        <w:rPr>
          <w:color w:val="64748B"/>
          <w:sz w:val="16"/>
          <w:szCs w:val="16"/>
        </w:rPr>
        <w:t xml:space="preserve">body · mind and emotions · family and kinship · community · culture · Country · spirituality and ancestors · strengths recorded with the same care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Screening and testing, with tool choice explained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culturally validated first: aPHQ-9 (cut-point 10), WASC-Y/A, KMMS, HANAA · limits of mainstream norms noted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Cultural consultation and supports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Aboriginal Health Worker, liaison officer, Elder or community input, with consent · clinical bearing only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Culturally informed formulation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anchored to this client’s account · strengths and connections · no group-level attributions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7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Plan agreed with the client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actions shaped with client and family · ACCHO referral options · review date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Compliance notice (keep with the assessment)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Cultural safety is determined by the client, not declared by the clinician: record the process (status asked and self-reported, consent and participation, tool choice and its limits, consultation with its clinical bearing, a plan the client shaped) rather than a self-assessment of safety. Ask every client the standard Indigenous status question; not stated is a valid, recordable answer. No MBS item conditions payment on cultural content, but item 715 and Better Access records must be individualised. Retain records per state law: commonly 7 years from last contact, or to age 25 for clients seen as minors. Adapt this template with your community and Aboriginal health colleagues.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How the client experienced the process (asked and recorded):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72"/>
        <w:gridCol w:w="2658"/>
      </w:tblGrid>
      <w:tr>
        <w:tc>
          <w:tcPr>
            <w:tcW w:type="dxa" w:w="797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 and credentials:</w:t>
            </w:r>
          </w:p>
        </w:tc>
        <w:tc>
          <w:tcPr>
            <w:tcW w:type="dxa" w:w="265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assessment, and compliance notes: </w:t>
    </w:r>
    <w:r>
      <w:rPr>
        <w:b/>
        <w:bCs/>
        <w:color w:val="000000"/>
        <w:sz w:val="16"/>
        <w:szCs w:val="16"/>
      </w:rPr>
      <w:t xml:space="preserve">bastiongpt.com/template/culturally-safe-assessment</w:t>
    </w:r>
    <w:r>
      <w:rPr>
        <w:color w:val="64748B"/>
        <w:sz w:val="16"/>
        <w:szCs w:val="16"/>
      </w:rPr>
      <w:t xml:space="preserve">   ·   BastionGPT drafts complete culturally safe assessments.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2026-07-31T11:03:04.355Z</dcterms:created>
  <dcterms:modified xsi:type="dcterms:W3CDTF">2026-07-31T11:03:04.356Z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