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000000"/>
          <w:sz w:val="34"/>
          <w:szCs w:val="34"/>
        </w:rPr>
        <w:t xml:space="preserve">D-KEFS Results Section Template</w:t>
      </w:r>
    </w:p>
    <w:p>
      <w:pPr>
        <w:pBdr>
          <w:bottom w:val="single" w:color="000000" w:sz="18"/>
        </w:pBdr>
        <w:spacing w:after="90"/>
      </w:pPr>
      <w:r>
        <w:rPr>
          <w:color w:val="64748B"/>
          <w:sz w:val="16"/>
          <w:szCs w:val="16"/>
        </w:rPr>
        <w:t xml:space="preserve">Reviewed by the BastionGPT Clinical Advisory Board · July 2026 · Adapt fields to your organization’s, payer’s and jurisdiction’s documentation requirements.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Client (initials):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Age: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Testing dates:</w:t>
            </w:r>
          </w:p>
        </w:tc>
      </w:tr>
    </w:tbl>
    <w:p>
      <w:pPr>
        <w:spacing w:before="4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Edition and norms year: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Format (paper / Q-interactive / telepractice):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Referral question:</w:t>
            </w:r>
          </w:p>
        </w:tc>
      </w:tr>
    </w:tbl>
    <w:p>
      <w:pPr>
        <w:spacing w:after="20" w:before="70"/>
      </w:pPr>
      <w:r>
        <w:rPr>
          <w:b/>
          <w:bCs/>
          <w:color w:val="000000"/>
          <w:sz w:val="23"/>
          <w:szCs w:val="23"/>
        </w:rPr>
        <w:t xml:space="preserve">Measures and edition statement</w:t>
      </w:r>
    </w:p>
    <w:p>
      <w:pPr>
        <w:spacing w:after="40"/>
      </w:pPr>
      <w:r>
        <w:rPr>
          <w:color w:val="64748B"/>
          <w:sz w:val="16"/>
          <w:szCs w:val="16"/>
        </w:rPr>
        <w:t xml:space="preserve">Tests administered and why they fit the referral; edition (original 2001 or Advanced 2025) and norms year stated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9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70"/>
      </w:pPr>
      <w:r>
        <w:rPr>
          <w:b/>
          <w:bCs/>
          <w:color w:val="000000"/>
          <w:sz w:val="23"/>
          <w:szCs w:val="23"/>
        </w:rPr>
        <w:t xml:space="preserve">Behavioral observations during testing</w:t>
      </w:r>
    </w:p>
    <w:p>
      <w:pPr>
        <w:spacing w:after="40"/>
      </w:pPr>
      <w:r>
        <w:rPr>
          <w:color w:val="64748B"/>
          <w:sz w:val="16"/>
          <w:szCs w:val="16"/>
        </w:rPr>
        <w:t xml:space="preserve">Engagement, pace, frustration tolerance, strategy use; connected to the scores they explain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9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70"/>
      </w:pPr>
      <w:r>
        <w:rPr>
          <w:b/>
          <w:bCs/>
          <w:color w:val="000000"/>
          <w:sz w:val="23"/>
          <w:szCs w:val="23"/>
        </w:rPr>
        <w:t xml:space="preserve">Results by executive construct</w:t>
      </w:r>
    </w:p>
    <w:p>
      <w:pPr>
        <w:spacing w:after="40"/>
      </w:pPr>
      <w:r>
        <w:rPr>
          <w:color w:val="64748B"/>
          <w:sz w:val="16"/>
          <w:szCs w:val="16"/>
        </w:rPr>
        <w:t xml:space="preserve">Inhibition, flexibility and switching, fluency, planning, concept formation; primary scaled scores (mean 10, SD 3), intact baselines localized first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70"/>
      </w:pPr>
      <w:r>
        <w:rPr>
          <w:b/>
          <w:bCs/>
          <w:color w:val="000000"/>
          <w:sz w:val="23"/>
          <w:szCs w:val="23"/>
        </w:rPr>
        <w:t xml:space="preserve">Process and contrast observations</w:t>
      </w:r>
    </w:p>
    <w:p>
      <w:pPr>
        <w:spacing w:after="40"/>
      </w:pPr>
      <w:r>
        <w:rPr>
          <w:color w:val="64748B"/>
          <w:sz w:val="16"/>
          <w:szCs w:val="16"/>
        </w:rPr>
        <w:t xml:space="preserve">Hypothesis level only; the pattern, what it suggests, and the reliability caution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70"/>
      </w:pPr>
      <w:r>
        <w:rPr>
          <w:b/>
          <w:bCs/>
          <w:color w:val="000000"/>
          <w:sz w:val="23"/>
          <w:szCs w:val="23"/>
        </w:rPr>
        <w:t xml:space="preserve">Integration with ratings, records, and history</w:t>
      </w:r>
    </w:p>
    <w:p>
      <w:pPr>
        <w:spacing w:after="40"/>
      </w:pPr>
      <w:r>
        <w:rPr>
          <w:color w:val="64748B"/>
          <w:sz w:val="16"/>
          <w:szCs w:val="16"/>
        </w:rPr>
        <w:t xml:space="preserve">Convergence and divergence explained rather than averaged; performance and ratings sample different conditions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9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70"/>
      </w:pPr>
      <w:r>
        <w:rPr>
          <w:b/>
          <w:bCs/>
          <w:color w:val="000000"/>
          <w:sz w:val="23"/>
          <w:szCs w:val="23"/>
        </w:rPr>
        <w:t xml:space="preserve">Interpretive summary</w:t>
      </w:r>
    </w:p>
    <w:p>
      <w:pPr>
        <w:spacing w:after="40"/>
      </w:pPr>
      <w:r>
        <w:rPr>
          <w:color w:val="64748B"/>
          <w:sz w:val="16"/>
          <w:szCs w:val="16"/>
        </w:rPr>
        <w:t xml:space="preserve">Construct profile tied to the referral question; no composite language; limits stated (norms year, selective battery, single session)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9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70"/>
      </w:pPr>
      <w:r>
        <w:rPr>
          <w:b/>
          <w:bCs/>
          <w:color w:val="000000"/>
          <w:sz w:val="23"/>
          <w:szCs w:val="23"/>
        </w:rPr>
        <w:t xml:space="preserve">Recommendations linked to findings</w:t>
      </w:r>
    </w:p>
    <w:p>
      <w:pPr>
        <w:spacing w:after="40"/>
      </w:pPr>
      <w:r>
        <w:rPr>
          <w:color w:val="64748B"/>
          <w:sz w:val="16"/>
          <w:szCs w:val="16"/>
        </w:rPr>
        <w:t xml:space="preserve">Each recommendation tied to a documented finding; re-evaluation accounts for alternate forms on three tests only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9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5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15"/>
        <w:gridCol w:w="5315"/>
      </w:tblGrid>
      <w:tr>
        <w:tc>
          <w:tcPr>
            <w:tcW w:type="dxa" w:w="5315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Re-evaluation plan (measures, timing):</w:t>
            </w:r>
          </w:p>
        </w:tc>
        <w:tc>
          <w:tcPr>
            <w:tcW w:type="dxa" w:w="5315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Report due:</w:t>
            </w:r>
          </w:p>
        </w:tc>
      </w:tr>
    </w:tbl>
    <w:p>
      <w:pPr>
        <w:spacing w:before="6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86"/>
        <w:gridCol w:w="3544"/>
      </w:tblGrid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Evaluator signature / credentials: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signed:</w:t>
            </w:r>
          </w:p>
        </w:tc>
      </w:tr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Supervisor signature, where required: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Date:</w:t>
            </w:r>
          </w:p>
        </w:tc>
      </w:tr>
    </w:tbl>
    <w:sectPr>
      <w:footerReference w:type="default" r:id="rId7"/>
      <w:pgSz w:w="12240" w:h="15840" w:orient="portrait"/>
      <w:pgMar w:top="720" w:right="810" w:bottom="720" w:left="8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Full guide and sample: </w:t>
    </w:r>
    <w:r>
      <w:rPr>
        <w:b/>
        <w:bCs/>
        <w:color w:val="000000"/>
        <w:sz w:val="16"/>
        <w:szCs w:val="16"/>
      </w:rPr>
      <w:t xml:space="preserve">bastiongpt.com/template/d-kefs-report</w:t>
    </w:r>
    <w:r>
      <w:rPr>
        <w:color w:val="64748B"/>
        <w:sz w:val="16"/>
        <w:szCs w:val="16"/>
      </w:rPr>
      <w:t xml:space="preserve">   ·   BastionGPT drafts evaluation reports. Free 7-day trial.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2026-07-21T23:58:24.795Z</dcterms:created>
  <dcterms:modified xsi:type="dcterms:W3CDTF">2026-07-21T23:58:24.797Z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