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DAST-10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September 2026 · Adapt fields to your organization’s, payer’s and jurisdiction’s documentation requirements. Contains no questionnaire items.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8"/>
        <w:gridCol w:w="4622"/>
      </w:tblGrid>
      <w:tr>
        <w:tc>
          <w:tcPr>
            <w:tcW w:type="dxa" w:w="600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+ time frame (standard 12 months / modified):</w:t>
            </w:r>
          </w:p>
        </w:tc>
        <w:tc>
          <w:tcPr>
            <w:tcW w:type="dxa" w:w="462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Mode (self-report / interview) + language: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Instruction block and medication handling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Full instructions shown · medication as directed excluded, named · beyond-directions use and others' prescriptions counted · cannabis handling stated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Completeness and fitness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All ten items answered · who computed the total · not intoxicated or in withdrawal at completion, or the limitation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Total and topics endorsed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 of 10 · topics endorsed in the problem direction, in your own words · licensed form's key used · prior total, date, and window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Substances, in the patient's words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Substance, route, amount, frequency, last use · source (own, someone else's, illicit) · injection, overdose history · alcohol screened separately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Positive or negative screen · band per the CAMH guide, labeled tentative · disorder not established · population caveat · self-report limits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 and intervention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Assessment named with date (DSM-5 criteria, withdrawal check, toxicology) · feedback · patient's goal · referral decision · intervention minutes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Plan, record, and billing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Rescreen window and date · next visit · code claimed · where the result is stored · Part 2 status if created by a Part 2 program · consent on file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DAST-10 is a ten-item, yes-or-no screen for problems related to drugs other than alcohol over the past 12 months, scored one point per answer in the problem direction for a total of 0 to 10. It is case finding, not diagnosis: the severity bands are tentative guidelines from the author's CAMH-published guide, and substance use disorder is established only by a criteria-based assessment. The instrument collects no drug type, frequency, or duration, so the substances belong in the note in the patient's words; its definition of drug use (medication only when used beyond directions, plus any non-medical use) sits in the instruction block, so the handling of prescribed medication and cannabis belongs in the note as well. The DAST-10 is copyrighted by Harvey A. Skinner and the Centre for Addiction and Mental Health; it may be reproduced for non-commercial clinical, research, and training use with credit to the author, and digital or EHR licensing runs through CAMH. This template contains no questionnaire items and is not a substitute for the instrument.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bastiongpt.com/template/dast-10</w:t>
    </w:r>
    <w:r>
      <w:rPr>
        <w:color w:val="64748B"/>
        <w:sz w:val="16"/>
        <w:szCs w:val="16"/>
      </w:rPr>
      <w:t xml:space="preserve">   ·   BastionGPT drafts complete DAST-10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2026-09-03T05:57:50.738Z</dcterms:created>
  <dcterms:modified xsi:type="dcterms:W3CDTF">2026-09-03T05:57:50.739Z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