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Child &amp; Adolescent Developmental Assessment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2400"/>
        <w:gridCol w:w="2500"/>
        <w:gridCol w:w="283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Child (initials):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 / age: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Corrected age:</w:t>
            </w:r>
          </w:p>
        </w:tc>
        <w:tc>
          <w:tcPr>
            <w:tcW w:type="dxa" w:w="28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Date(s):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800"/>
        <w:gridCol w:w="2830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Assessor(s) / credentials: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source + question:</w:t>
            </w:r>
          </w:p>
        </w:tc>
        <w:tc>
          <w:tcPr>
            <w:tcW w:type="dxa" w:w="28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start/stop: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Sources of information &amp; procedures</w:t>
      </w:r>
      <w:r>
        <w:rPr>
          <w:color w:val="64748B"/>
          <w:sz w:val="15"/>
          <w:szCs w:val="15"/>
        </w:rPr>
        <w:t xml:space="preserve">   records reviewed by name; interviews; observation settings; instruments (screen vs. testing labeled); language/mode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Birth &amp; early medical history</w:t>
      </w:r>
      <w:r>
        <w:rPr>
          <w:color w:val="64748B"/>
          <w:sz w:val="15"/>
          <w:szCs w:val="15"/>
        </w:rPr>
        <w:t xml:space="preserve">   pregnancy, delivery, gestational age, birth weight, NICU, illnesses; hearing and vision screens with dates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Developmental milestones by domain</w:t>
      </w:r>
      <w:r>
        <w:rPr>
          <w:color w:val="64748B"/>
          <w:sz w:val="15"/>
          <w:szCs w:val="15"/>
        </w:rPr>
        <w:t xml:space="preserve">   gross motor, fine motor, language, cognitive/play, social-emotional, adaptive; age attained + informant and basis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Family &amp; social context</w:t>
      </w:r>
      <w:r>
        <w:rPr>
          <w:color w:val="64748B"/>
          <w:sz w:val="15"/>
          <w:szCs w:val="15"/>
        </w:rPr>
        <w:t xml:space="preserve">   household, languages, caregiving; family history; family resources, priorities, and concerns (Part C)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Education / child care history</w:t>
      </w:r>
      <w:r>
        <w:rPr>
          <w:color w:val="64748B"/>
          <w:sz w:val="15"/>
          <w:szCs w:val="15"/>
        </w:rPr>
        <w:t xml:space="preserve">   settings, attendance, supports; prior IFSP, IEP, or therapy services and the response to them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Behavioral observations</w:t>
      </w:r>
      <w:r>
        <w:rPr>
          <w:color w:val="64748B"/>
          <w:sz w:val="15"/>
          <w:szCs w:val="15"/>
        </w:rPr>
        <w:t xml:space="preserve">   across settings: engagement, attention, communication attempts, play, caregiver-child interaction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Instruments, scores &amp; interpretation</w:t>
      </w:r>
      <w:r>
        <w:rPr>
          <w:color w:val="64748B"/>
          <w:sz w:val="15"/>
          <w:szCs w:val="15"/>
        </w:rPr>
        <w:t xml:space="preserve">   instrument / scores / plain-terms interpretation per instrument; validity of results statement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Impressions: eligibility / diagnosis</w:t>
      </w:r>
      <w:r>
        <w:rPr>
          <w:color w:val="64748B"/>
          <w:sz w:val="15"/>
          <w:szCs w:val="15"/>
        </w:rPr>
        <w:t xml:space="preserve">   synthesis; informed clinical opinion where used; state criteria or DSM-5-TR / ICD-10-CM code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Recommendations &amp; next steps</w:t>
      </w:r>
      <w:r>
        <w:rPr>
          <w:color w:val="64748B"/>
          <w:sz w:val="15"/>
          <w:szCs w:val="15"/>
        </w:rPr>
        <w:t xml:space="preserve">   each tied to a finding, prioritized; referrals; re-screen date; feedback session and plain-language summary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4200"/>
        <w:gridCol w:w="303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Parental consent documented:  Y / N</w:t>
            </w: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Assessor signature(s) / credentials: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note: </w:t>
    </w:r>
    <w:r>
      <w:rPr>
        <w:b/>
        <w:bCs/>
        <w:color w:val="000000"/>
        <w:sz w:val="16"/>
        <w:szCs w:val="16"/>
      </w:rPr>
      <w:t xml:space="preserve">bastiongpt.com/template/developmental-assessment</w:t>
    </w:r>
    <w:r>
      <w:rPr>
        <w:color w:val="64748B"/>
        <w:sz w:val="16"/>
        <w:szCs w:val="16"/>
      </w:rPr>
      <w:t xml:space="preserve">   ·   BastionGPT drafts the assessment from your interview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2026-07-23T14:45:22.511Z</dcterms:created>
  <dcterms:modified xsi:type="dcterms:W3CDTF">2026-07-23T14:45:22.512Z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