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000000"/>
          <w:sz w:val="34"/>
          <w:szCs w:val="34"/>
        </w:rPr>
        <w:t xml:space="preserve">Epworth Sleepiness Scale Documentation Template</w:t>
      </w:r>
    </w:p>
    <w:p>
      <w:pPr>
        <w:pBdr>
          <w:bottom w:val="single" w:color="000000" w:sz="18"/>
        </w:pBdr>
        <w:spacing w:after="80"/>
      </w:pPr>
      <w:r>
        <w:rPr>
          <w:color w:val="64748B"/>
          <w:sz w:val="16"/>
          <w:szCs w:val="16"/>
        </w:rPr>
        <w:t xml:space="preserve">Reviewed by the BastionGPT Clinical Advisory Board · August 2026 · Adapt fields to your organization’s, payer’s and jurisdiction’s documentation requirements. Contains no scale content.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2657"/>
        <w:gridCol w:w="2126"/>
        <w:gridCol w:w="2126"/>
        <w:gridCol w:w="3721"/>
      </w:tblGrid>
      <w:tr>
        <w:tc>
          <w:tcPr>
            <w:tcW w:type="dxa" w:w="2657"/>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Setting:</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Patient (initials):</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c>
          <w:tcPr>
            <w:tcW w:type="dxa" w:w="372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102"/>
        <w:gridCol w:w="5528"/>
      </w:tblGrid>
      <w:tr>
        <w:tc>
          <w:tcPr>
            <w:tcW w:type="dxa" w:w="5102"/>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Version + language + mode:</w:t>
            </w:r>
          </w:p>
        </w:tc>
        <w:tc>
          <w:tcPr>
            <w:tcW w:type="dxa" w:w="5528"/>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Respondent + assistance + time point:</w:t>
            </w:r>
          </w:p>
        </w:tc>
      </w:tr>
    </w:tbl>
    <w:p>
      <w:pPr>
        <w:spacing w:after="20" w:before="30"/>
      </w:pPr>
      <w:r>
        <w:rPr>
          <w:b/>
          <w:bCs/>
          <w:color w:val="000000"/>
          <w:sz w:val="22"/>
          <w:szCs w:val="22"/>
        </w:rPr>
        <w:t xml:space="preserve">Score and validity</w:t>
      </w:r>
    </w:p>
    <w:p>
      <w:pPr>
        <w:spacing w:after="40"/>
      </w:pPr>
      <w:r>
        <w:rPr>
          <w:color w:val="64748B"/>
          <w:sz w:val="16"/>
          <w:szCs w:val="16"/>
        </w:rPr>
        <w:t xml:space="preserve">Total ___/24 · all eight situations answered (missing = invalid, not imputed) · half-point totals rounded up · standard recall frame kept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Band</w:t>
      </w:r>
    </w:p>
    <w:p>
      <w:pPr>
        <w:spacing w:after="40"/>
      </w:pPr>
      <w:r>
        <w:rPr>
          <w:color w:val="64748B"/>
          <w:sz w:val="16"/>
          <w:szCs w:val="16"/>
        </w:rPr>
        <w:t xml:space="preserve">0-5 lower normal · 6-10 upper normal · 11-12 mild · 13-15 moderate · 16-24 severe · policy thresholds (MBS 8+, payer over 10) named separately</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Context</w:t>
      </w:r>
    </w:p>
    <w:p>
      <w:pPr>
        <w:spacing w:after="40"/>
      </w:pPr>
      <w:r>
        <w:rPr>
          <w:color w:val="64748B"/>
          <w:sz w:val="16"/>
          <w:szCs w:val="16"/>
        </w:rPr>
        <w:t xml:space="preserve">Usual sleep opportunity · recent restriction · shift work · sedating or stimulating medications · alcohol, caffeine · mood, illness · treatment adherence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6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Safety history</w:t>
      </w:r>
    </w:p>
    <w:p>
      <w:pPr>
        <w:spacing w:after="40"/>
      </w:pPr>
      <w:r>
        <w:rPr>
          <w:color w:val="64748B"/>
          <w:sz w:val="16"/>
          <w:szCs w:val="16"/>
        </w:rPr>
        <w:t xml:space="preserve">Dozing while driving or operating equipment · near-misses · crashes · unintentional sleep episodes · occupational exposure · collateral (separate, with source)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Interpretation</w:t>
      </w:r>
    </w:p>
    <w:p>
      <w:pPr>
        <w:spacing w:after="40"/>
      </w:pPr>
      <w:r>
        <w:rPr>
          <w:color w:val="64748B"/>
          <w:sz w:val="16"/>
          <w:szCs w:val="16"/>
        </w:rPr>
        <w:t xml:space="preserve">Reported dozing propensity in context · not an OSA-risk score, not a diagnosis, not a driving-fitness determination · differential named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Change from prior</w:t>
      </w:r>
    </w:p>
    <w:p>
      <w:pPr>
        <w:spacing w:after="40"/>
      </w:pPr>
      <w:r>
        <w:rPr>
          <w:color w:val="64748B"/>
          <w:sz w:val="16"/>
          <w:szCs w:val="16"/>
        </w:rPr>
        <w:t xml:space="preserve">Prior date and score · comparable conditions? · absolute change · paired with objective PAP use, efficacy, function</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Plan and licence</w:t>
      </w:r>
    </w:p>
    <w:p>
      <w:pPr>
        <w:spacing w:after="40"/>
      </w:pPr>
      <w:r>
        <w:rPr>
          <w:color w:val="64748B"/>
          <w:sz w:val="16"/>
          <w:szCs w:val="16"/>
        </w:rPr>
        <w:t xml:space="preserve">Testing · medication review · sleep-extension trial · PAP optimization · MWT if safety-sensitive · driving advice · next administration (same version and mode) · administered under licence, no items in note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8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Interpretation and rights notice (keep with every template)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c>
          <w:tcPr>
            <w:tcW w:type="dxa" w:w="10630"/>
            <w:tcBorders>
              <w:top w:val="single" w:color="767676" w:sz="6"/>
              <w:left w:val="single" w:color="767676" w:sz="6"/>
              <w:bottom w:val="single" w:color="767676" w:sz="6"/>
              <w:right w:val="single" w:color="767676" w:sz="6"/>
            </w:tcBorders>
            <w:tcMar>
              <w:top w:type="dxa" w:w="90"/>
              <w:left w:type="dxa" w:w="120"/>
              <w:bottom w:type="dxa" w:w="90"/>
              <w:right w:type="dxa" w:w="120"/>
            </w:tcMar>
          </w:tcPr>
          <w:p>
            <w:r>
              <w:rPr>
                <w:color w:val="111827"/>
                <w:sz w:val="16"/>
                <w:szCs w:val="16"/>
              </w:rPr>
              <w:t xml:space="preserve">The Epworth Sleepiness Scale measures a person's usual propensity to doze in everyday situations, scored 0 to 24 with 0 to 10 in the official normal range and 11 the first elevated score; it is not an OSA-risk score, an apnea severity measure, a sleep-quality measure, or a fitness-to-drive test, a low score does not exclude sleep apnea, and no US, Canadian, or Australian law makes a score diagnostic or reportable by itself. Chart the version, mode, respondent, and validity, keep policy thresholds (Australia's 8-or-more pathway criterion, a payer's above-10 route) separate from the official band, and describe change against a comparable prior score with objective treatment data beside it. The scale is copyright of the estate of Dr Murray W. Johns and licensed for every use through Mapi Research Trust, whether or not a fee is payable. This template contains no scale content and is not a substitute for the licensed instrument. This is general documentation guidance, not clinical or legal advice.</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3544"/>
        <w:gridCol w:w="1771"/>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 (name and credentials):</w:t>
            </w:r>
          </w:p>
        </w:tc>
        <w:tc>
          <w:tcPr>
            <w:tcW w:type="dxa" w:w="3544"/>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Signature:</w:t>
            </w:r>
          </w:p>
        </w:tc>
        <w:tc>
          <w:tcPr>
            <w:tcW w:type="dxa" w:w="177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r>
    </w:tbl>
    <w:sectPr>
      <w:footerReference w:type="default" r:id="rId7"/>
      <w:pgSz w:w="12240" w:h="15840" w:orient="portrait"/>
      <w:pgMar w:top="720" w:right="810" w:bottom="720" w:left="810" w:header="708" w:footer="34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6"/>
        <w:szCs w:val="16"/>
      </w:rPr>
      <w:t xml:space="preserve">Full guide, sample note, and compliance notes: </w:t>
    </w:r>
    <w:r>
      <w:rPr>
        <w:b/>
        <w:bCs/>
        <w:color w:val="000000"/>
        <w:sz w:val="16"/>
        <w:szCs w:val="16"/>
      </w:rPr>
      <w:t xml:space="preserve">bastiongpt.com/template/epworth</w:t>
    </w:r>
    <w:r>
      <w:rPr>
        <w:color w:val="64748B"/>
        <w:sz w:val="16"/>
        <w:szCs w:val="16"/>
      </w:rPr>
      <w:t xml:space="preserve">   ·   BastionGPT drafts complete ESS documentation for your review. Free 7-day trial.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2026-08-15T18:38:37.378Z</dcterms:created>
  <dcterms:modified xsi:type="dcterms:W3CDTF">2026-08-15T18:38:37.379Z</dcterms:modified>
</cp:coreProperties>
</file>

<file path=docProps/custom.xml><?xml version="1.0" encoding="utf-8"?>
<Properties xmlns="http://schemas.openxmlformats.org/officeDocument/2006/custom-properties" xmlns:vt="http://schemas.openxmlformats.org/officeDocument/2006/docPropsVTypes"/>
</file>