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GAF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scale anchor text.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6470"/>
        <w:gridCol w:w="4160"/>
      </w:tblGrid>
      <w:tr>
        <w:tc>
          <w:tcPr>
            <w:tcW w:type="dxa" w:w="647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Edition frame + reason for entry:</w:t>
            </w:r>
          </w:p>
        </w:tc>
        <w:tc>
          <w:tcPr>
            <w:tcW w:type="dxa" w:w="416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Period rated:</w:t>
            </w:r>
          </w:p>
        </w:tc>
      </w:tr>
    </w:tbl>
    <w:p>
      <w:pPr>
        <w:spacing w:after="20" w:before="30"/>
      </w:pPr>
      <w:r>
        <w:rPr>
          <w:b/>
          <w:bCs/>
          <w:color w:val="000000"/>
          <w:sz w:val="22"/>
          <w:szCs w:val="22"/>
        </w:rPr>
        <w:t xml:space="preserve">Basis of the rating</w:t>
      </w:r>
    </w:p>
    <w:p>
      <w:pPr>
        <w:spacing w:after="40"/>
      </w:pPr>
      <w:r>
        <w:rPr>
          <w:color w:val="64748B"/>
          <w:sz w:val="16"/>
          <w:szCs w:val="16"/>
        </w:rPr>
        <w:t xml:space="preserve">Symptom severity, functioning, or both in the same band · the lower component governs · never an average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Supporting observations</w:t>
      </w:r>
    </w:p>
    <w:p>
      <w:pPr>
        <w:spacing w:after="40"/>
      </w:pPr>
      <w:r>
        <w:rPr>
          <w:color w:val="64748B"/>
          <w:sz w:val="16"/>
          <w:szCs w:val="16"/>
        </w:rPr>
        <w:t xml:space="preserve">Work or school · self-care and living situation · relationships · psychotic symptoms · cognition · suicidal ideation with risk assessment referenced · physical and environmental limits excluded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GAF value entered</w:t>
      </w:r>
    </w:p>
    <w:p>
      <w:pPr>
        <w:spacing w:after="40"/>
      </w:pPr>
      <w:r>
        <w:rPr>
          <w:color w:val="64748B"/>
          <w:sz w:val="16"/>
          <w:szCs w:val="16"/>
        </w:rPr>
        <w:t xml:space="preserve">One integer, 1 to 100 · 0 only for inadequate information · split, modified, MIRECC, or CGAS version named if used · never a range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Companion current measure</w:t>
      </w:r>
    </w:p>
    <w:p>
      <w:pPr>
        <w:spacing w:after="40"/>
      </w:pPr>
      <w:r>
        <w:rPr>
          <w:color w:val="64748B"/>
          <w:sz w:val="16"/>
          <w:szCs w:val="16"/>
        </w:rPr>
        <w:t xml:space="preserve">WHODAS 2.0, ANSA, CANS, LOCUS, HoNOS, or K10 · version and date · summary result · no numerical conversion between scales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Historical scores</w:t>
      </w:r>
    </w:p>
    <w:p>
      <w:pPr>
        <w:spacing w:after="40"/>
      </w:pPr>
      <w:r>
        <w:rPr>
          <w:color w:val="64748B"/>
          <w:sz w:val="16"/>
          <w:szCs w:val="16"/>
        </w:rPr>
        <w:t xml:space="preserve">Prior GAF values with date, rater, and period rated · kept as dated opinions · change described in the facts, not the numbers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Limits statement</w:t>
      </w:r>
    </w:p>
    <w:p>
      <w:pPr>
        <w:spacing w:after="40"/>
      </w:pPr>
      <w:r>
        <w:rPr>
          <w:color w:val="64748B"/>
          <w:sz w:val="16"/>
          <w:szCs w:val="16"/>
        </w:rPr>
        <w:t xml:space="preserve">Entered because the form, field, or order requires it · not a current DSM-5-TR measure · not normed · weigh with the narrative and the companion result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Plan and record</w:t>
      </w:r>
    </w:p>
    <w:p>
      <w:pPr>
        <w:spacing w:after="40"/>
      </w:pPr>
      <w:r>
        <w:rPr>
          <w:color w:val="64748B"/>
          <w:sz w:val="16"/>
          <w:szCs w:val="16"/>
        </w:rPr>
        <w:t xml:space="preserve">Next review date · where the GAF and the companion measure are stored · authorization or report the entry supports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Legacy status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Global Assessment of Functioning is a legacy Axis V rating from DSM-IV-TR (American Psychiatric Association, 2000). DSM-5 removed it in 2013 for lack of conceptual clarity and questionable psychometrics in routine practice, the Department of Veterans Affairs stopped using it for disability examinations in 2014, and the Social Security Administration treats it as one non-dispositive opinion; some state systems, payer forms, legacy EHR fields, and court files still ask for a number. A defensible entry states that it was rated per DSM-IV-TR conventions and why it was entered, names the period, discloses whether symptoms or functioning drove the number, gives the supporting facts, excludes physical and environmental limits, and records a current functional measure such as the WHODAS 2.0 beside it without converting between the two. Prior scores are dated opinions, not a trend. The scale's anchor descriptions are the APA's copyrighted text and are not reproduced here or licensed for forms, EHR builds, or web tools; describe the level in your own words. This template is not a substitute for the manual.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bastiongpt.com/template/gaf-score</w:t>
    </w:r>
    <w:r>
      <w:rPr>
        <w:color w:val="64748B"/>
        <w:sz w:val="16"/>
        <w:szCs w:val="16"/>
      </w:rPr>
      <w:t xml:space="preserve">   ·   BastionGPT drafts complete GAF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2026-09-03T05:41:02.620Z</dcterms:created>
  <dcterms:modified xsi:type="dcterms:W3CDTF">2026-09-03T05:41:02.621Z</dcterms:modified>
</cp:coreProperties>
</file>

<file path=docProps/custom.xml><?xml version="1.0" encoding="utf-8"?>
<Properties xmlns="http://schemas.openxmlformats.org/officeDocument/2006/custom-properties" xmlns:vt="http://schemas.openxmlformats.org/officeDocument/2006/docPropsVTypes"/>
</file>