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GFTA-3 Results Section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100"/>
        <w:gridCol w:w="5530"/>
      </w:tblGrid>
      <w:tr>
        <w:tc>
          <w:tcPr>
            <w:tcW w:type="dxa" w:w="5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Sections administered + platform:</w:t>
            </w:r>
          </w:p>
        </w:tc>
        <w:tc>
          <w:tcPr>
            <w:tcW w:type="dxa" w:w="5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Norm group + language of testing:</w:t>
            </w:r>
          </w:p>
        </w:tc>
      </w:tr>
    </w:tbl>
    <w:p>
      <w:pPr>
        <w:spacing w:after="20" w:before="30"/>
      </w:pPr>
      <w:r>
        <w:rPr>
          <w:b/>
          <w:bCs/>
          <w:color w:val="000000"/>
          <w:sz w:val="22"/>
          <w:szCs w:val="22"/>
        </w:rPr>
        <w:t xml:space="preserve">Referral question and measures</w:t>
      </w:r>
    </w:p>
    <w:p>
      <w:pPr>
        <w:spacing w:after="40"/>
      </w:pPr>
      <w:r>
        <w:rPr>
          <w:color w:val="64748B"/>
          <w:sz w:val="16"/>
          <w:szCs w:val="16"/>
        </w:rPr>
        <w:t xml:space="preserve">Referral concern · evaluation dates · GFTA-3 sections given · KLPA-3 analysis · connected-speech sample · hearing, oral mechanism, and language measures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Observations, oral mechanism, and validity</w:t>
      </w:r>
    </w:p>
    <w:p>
      <w:pPr>
        <w:spacing w:after="40"/>
      </w:pPr>
      <w:r>
        <w:rPr>
          <w:color w:val="64748B"/>
          <w:sz w:val="16"/>
          <w:szCs w:val="16"/>
        </w:rPr>
        <w:t xml:space="preserve">Attention and effort · hearing status · oral structure and function · language history and dialect · bilingual status · normative comparison appropriate or not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Standard scores with intervals</w:t>
      </w:r>
    </w:p>
    <w:p>
      <w:pPr>
        <w:spacing w:after="40"/>
      </w:pPr>
      <w:r>
        <w:rPr>
          <w:color w:val="64748B"/>
          <w:sz w:val="16"/>
          <w:szCs w:val="16"/>
        </w:rPr>
        <w:t xml:space="preserve">Sounds-in-Words: standard score (mean 100, SD 15) · 95% confidence interval · percentile · norm group · Sounds-in-Sentences separately if given · age equivalent only if required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Error inventory and phonological patterns</w:t>
      </w:r>
    </w:p>
    <w:p>
      <w:pPr>
        <w:spacing w:after="40"/>
      </w:pPr>
      <w:r>
        <w:rPr>
          <w:color w:val="64748B"/>
          <w:sz w:val="16"/>
          <w:szCs w:val="16"/>
        </w:rPr>
        <w:t xml:space="preserve">Sounds and positions in error · substitution, omission, distortion · consistency · KLPA-3 standard score and each process by percent of occurrence, developmental or atypical</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Stimulability, intelligibility, and connected speech</w:t>
      </w:r>
    </w:p>
    <w:p>
      <w:pPr>
        <w:spacing w:after="40"/>
      </w:pPr>
      <w:r>
        <w:rPr>
          <w:color w:val="64748B"/>
          <w:sz w:val="16"/>
          <w:szCs w:val="16"/>
        </w:rPr>
        <w:t xml:space="preserve">Stimulable sounds and level of support · intelligibility method named (ICS, PCC, listener estimate) · sample size and context · single words compared with conversation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Developmental comparison and eligibility statement</w:t>
      </w:r>
    </w:p>
    <w:p>
      <w:pPr>
        <w:spacing w:after="40"/>
      </w:pPr>
      <w:r>
        <w:rPr>
          <w:color w:val="64748B"/>
          <w:sz w:val="16"/>
          <w:szCs w:val="16"/>
        </w:rPr>
        <w:t xml:space="preserve">Each error against a named acquisition source · governing rule quoted · each element compared · adverse effect or functional impact · team determination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Recommendations and progress plan</w:t>
      </w:r>
    </w:p>
    <w:p>
      <w:pPr>
        <w:spacing w:after="40"/>
      </w:pPr>
      <w:r>
        <w:rPr>
          <w:color w:val="64748B"/>
          <w:sz w:val="16"/>
          <w:szCs w:val="16"/>
        </w:rPr>
        <w:t xml:space="preserve">Approach matched to mechanism (articulation or phonological) · targets ordered by stimulability · language referral if needed · progress measures and reevaluation timing</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Eligibility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GFTA-3 informs but never determines eligibility: federal law prohibits any single measure as the sole criterion and sets no GFTA-3 cutoff, state articulation rules mostly turn on intelligibility, developmental expectation, stimulability, and adverse educational effect, and a standard score of 85 is a convention wherever no rule adopts it. Name the sections administered, the platform, and the male or female norm table; report every standard score with its confidence interval and percentile; keep articulation (sounds, positions, error types, stimulability) and phonology (KLPA-3 patterns from the same responses) in separate sections; measure intelligibility by a named method with a sized connected-speech sample, because the record-form rating is a clinician judgment and not a normed score; count dialect variants as correct; and compare each error with a named acquisition source. GFTA-3 is a trademark of NCS Pearson, Inc.; record forms, stimulus books, norms, conversion tables, and scoring logic may not be reproduced, and this template contains no test content.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bastiongpt.com/template/gfta-3-report</w:t>
    </w:r>
    <w:r>
      <w:rPr>
        <w:color w:val="64748B"/>
        <w:sz w:val="16"/>
        <w:szCs w:val="16"/>
      </w:rPr>
      <w:t xml:space="preserve">   ·   BastionGPT drafts complete GFTA-3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2026-09-03T03:06:18.530Z</dcterms:created>
  <dcterms:modified xsi:type="dcterms:W3CDTF">2026-09-03T03:06:18.531Z</dcterms:modified>
</cp:coreProperties>
</file>

<file path=docProps/custom.xml><?xml version="1.0" encoding="utf-8"?>
<Properties xmlns="http://schemas.openxmlformats.org/officeDocument/2006/custom-properties" xmlns:vt="http://schemas.openxmlformats.org/officeDocument/2006/docPropsVTypes"/>
</file>