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KTEA-3 Results Section Template</w:t>
      </w:r>
    </w:p>
    <w:p>
      <w:pPr>
        <w:pBdr>
          <w:bottom w:val="single" w:color="000000" w:sz="18"/>
        </w:pBdr>
        <w:spacing w:after="9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Student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Age / grade: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Testing date:</w:t>
            </w:r>
          </w:p>
        </w:tc>
      </w:tr>
    </w:tbl>
    <w:p>
      <w:pPr>
        <w:spacing w:before="4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Form administered (A or B):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Platform and mode: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Norm set used (age or grade):</w:t>
            </w:r>
          </w:p>
        </w:tc>
      </w:tr>
    </w:tbl>
    <w:p>
      <w:pPr>
        <w:spacing w:after="20" w:before="70"/>
      </w:pPr>
      <w:r>
        <w:rPr>
          <w:b/>
          <w:bCs/>
          <w:color w:val="000000"/>
          <w:sz w:val="23"/>
          <w:szCs w:val="23"/>
        </w:rPr>
        <w:t xml:space="preserve">Measures and methods statement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Why the KTEA-3 fits the referral; edition (2014), form, norm type, platform, and mode stated (telepractice described)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70"/>
      </w:pPr>
      <w:r>
        <w:rPr>
          <w:b/>
          <w:bCs/>
          <w:color w:val="000000"/>
          <w:sz w:val="23"/>
          <w:szCs w:val="23"/>
        </w:rPr>
        <w:t xml:space="preserve">Behavioral observations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Engagement, attention, timed-task behavior; validity statement and any deviations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70"/>
      </w:pPr>
      <w:r>
        <w:rPr>
          <w:b/>
          <w:bCs/>
          <w:color w:val="000000"/>
          <w:sz w:val="23"/>
          <w:szCs w:val="23"/>
        </w:rPr>
        <w:t xml:space="preserve">Domain-by-domain results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Reading, Math, Written Language, Oral Language: composite then subtests (mean 100, SD 15) with percentiles; timed vs untimed contrasts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70"/>
      </w:pPr>
      <w:r>
        <w:rPr>
          <w:b/>
          <w:bCs/>
          <w:color w:val="000000"/>
          <w:sz w:val="23"/>
          <w:szCs w:val="23"/>
        </w:rPr>
        <w:t xml:space="preserve">Error-analysis narrative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Categories flagged against grade-peer averages; what the student can and cannot yet do; intervention targets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70"/>
      </w:pPr>
      <w:r>
        <w:rPr>
          <w:b/>
          <w:bCs/>
          <w:color w:val="000000"/>
          <w:sz w:val="23"/>
          <w:szCs w:val="23"/>
        </w:rPr>
        <w:t xml:space="preserve">Composite handling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ASB with scope stated (no oral-language subtests); supplemental composites; Dyslexia Index as screening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70"/>
      </w:pPr>
      <w:r>
        <w:rPr>
          <w:b/>
          <w:bCs/>
          <w:color w:val="000000"/>
          <w:sz w:val="23"/>
          <w:szCs w:val="23"/>
        </w:rPr>
        <w:t xml:space="preserve">Cognitive linkage and eligibility framing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Ability-achievement or PSW analysis with the state model named; decision routed to the team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70"/>
      </w:pPr>
      <w:r>
        <w:rPr>
          <w:b/>
          <w:bCs/>
          <w:color w:val="000000"/>
          <w:sz w:val="23"/>
          <w:szCs w:val="23"/>
        </w:rPr>
        <w:t xml:space="preserve">Summary and recommendations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Impaired vs preserved domains; recommendations traced to flagged categories; re-evaluation plan (Form B, GSVs)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5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Re-evaluation plan (alternate form, GSV comparison):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Report due:</w:t>
            </w:r>
          </w:p>
        </w:tc>
      </w:tr>
    </w:tbl>
    <w:p>
      <w:pPr>
        <w:spacing w:before="6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Examiner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signature, where required: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 and sample: </w:t>
    </w:r>
    <w:r>
      <w:rPr>
        <w:b/>
        <w:bCs/>
        <w:color w:val="000000"/>
        <w:sz w:val="16"/>
        <w:szCs w:val="16"/>
      </w:rPr>
      <w:t xml:space="preserve">bastiongpt.com/template/ktea-3-report</w:t>
    </w:r>
    <w:r>
      <w:rPr>
        <w:color w:val="64748B"/>
        <w:sz w:val="16"/>
        <w:szCs w:val="16"/>
      </w:rPr>
      <w:t xml:space="preserve">   ·   BastionGPT drafts evaluation reports.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2026-07-23T06:10:43.637Z</dcterms:created>
  <dcterms:modified xsi:type="dcterms:W3CDTF">2026-07-23T06:10:43.639Z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