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MADRS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scale items or anchors.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6380"/>
        <w:gridCol w:w="4250"/>
      </w:tblGrid>
      <w:tr>
        <w:tc>
          <w:tcPr>
            <w:tcW w:type="dxa" w:w="638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Instrument + rater + interview method:</w:t>
            </w:r>
          </w:p>
        </w:tc>
        <w:tc>
          <w:tcPr>
            <w:tcW w:type="dxa" w:w="425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Interval rated:</w:t>
            </w:r>
          </w:p>
        </w:tc>
      </w:tr>
    </w:tbl>
    <w:p>
      <w:pPr>
        <w:spacing w:after="20" w:before="30"/>
      </w:pPr>
      <w:r>
        <w:rPr>
          <w:b/>
          <w:bCs/>
          <w:color w:val="000000"/>
          <w:sz w:val="22"/>
          <w:szCs w:val="22"/>
        </w:rPr>
        <w:t xml:space="preserve">Item profile</w:t>
      </w:r>
    </w:p>
    <w:p>
      <w:pPr>
        <w:spacing w:after="40"/>
      </w:pPr>
      <w:r>
        <w:rPr>
          <w:color w:val="64748B"/>
          <w:sz w:val="16"/>
          <w:szCs w:val="16"/>
        </w:rPr>
        <w:t xml:space="preserve">Which domains carry the total (observed and reported mood, tension, sleep, appetite, concentration, initiative, emotional response, pessimism, suicidal thoughts) · domains resolved · item scores kept on the flowsheet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3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Total and severity convention</w:t>
      </w:r>
    </w:p>
    <w:p>
      <w:pPr>
        <w:spacing w:after="40"/>
      </w:pPr>
      <w:r>
        <w:rPr>
          <w:color w:val="64748B"/>
          <w:sz w:val="16"/>
          <w:szCs w:val="16"/>
        </w:rPr>
        <w:t xml:space="preserve">Total ___ of 60 · severity label with its source named (Snaith and colleagues 1986, or the program's own convention) · a severity and change measure, not a diagnosis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Baseline and change</w:t>
      </w:r>
    </w:p>
    <w:p>
      <w:pPr>
        <w:spacing w:after="40"/>
      </w:pPr>
      <w:r>
        <w:rPr>
          <w:color w:val="64748B"/>
          <w:sz w:val="16"/>
          <w:szCs w:val="16"/>
        </w:rPr>
        <w:t xml:space="preserve">Baseline date and total on the same method · current total · absolute and percent change · response or remission rule applied, with its source: payer policy, protocol, or guideline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3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Congruence with the interview and collateral · minimizing or over-reporting noted with the judgment used · confounders: pain, medical illness, substances, sleep disorder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Risk (assessed separately)</w:t>
      </w:r>
    </w:p>
    <w:p>
      <w:pPr>
        <w:spacing w:after="40"/>
      </w:pPr>
      <w:r>
        <w:rPr>
          <w:color w:val="64748B"/>
          <w:sz w:val="16"/>
          <w:szCs w:val="16"/>
        </w:rPr>
        <w:t xml:space="preserve">Suicidal thoughts item rating · any rating above zero prompts a separate dated assessment · tool used (C-SSRS or other) · safety plan status · where the formulation is filed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3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Treatment context</w:t>
      </w:r>
    </w:p>
    <w:p>
      <w:pPr>
        <w:spacing w:after="40"/>
      </w:pPr>
      <w:r>
        <w:rPr>
          <w:color w:val="64748B"/>
          <w:sz w:val="16"/>
          <w:szCs w:val="16"/>
        </w:rPr>
        <w:t xml:space="preserve">TMS session number or esketamine phase (REMS session record kept separately) · medication changes since the last rating · adherence · other measures taken the same day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Decision and payer packet</w:t>
      </w:r>
    </w:p>
    <w:p>
      <w:pPr>
        <w:spacing w:after="40"/>
      </w:pPr>
      <w:r>
        <w:rPr>
          <w:color w:val="64748B"/>
          <w:sz w:val="16"/>
          <w:szCs w:val="16"/>
        </w:rPr>
        <w:t xml:space="preserve">Continue, intensify, taper, or change · baseline and current totals with the rule applied, for the authorization · PHQ-9 kept for any quality measure that requires it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conventions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MADRS is a clinician-rated depression severity scale: ten items, each scored 0 to 6 on defined and intermediate steps, summed to a total of 0 to 60, with the rating interval chosen by the rater and recorded. It measures severity and change and does not establish a diagnosis. The severity bands, the response rule, and the remission cutoffs are later conventions, so every entry names the convention and its source. The MADRS-S is a separate nine-item self-report with its own scoring and recall window and is not interchangeable with the clinician scale. The suicidal thoughts item is a screening item: any rating above zero prompts a separate, dated risk assessment, and an improved total never stands in for one. The scale is copyrighted (copyright claimed by Stuart Montgomery and the Royal College of Psychiatrists): an individual clinician may copy it for their own use with the full citation, and distribution to others or republication in any medium requires the College's permission. This template contains no scale items or anchors and is not a substitute for the instrument.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bastiongpt.com/template/madrs</w:t>
    </w:r>
    <w:r>
      <w:rPr>
        <w:color w:val="64748B"/>
        <w:sz w:val="16"/>
        <w:szCs w:val="16"/>
      </w:rPr>
      <w:t xml:space="preserve">   ·   BastionGPT drafts complete MADRS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2026-09-03T06:28:16.341Z</dcterms:created>
  <dcterms:modified xsi:type="dcterms:W3CDTF">2026-09-03T06:28:16.342Z</dcterms:modified>
</cp:coreProperties>
</file>

<file path=docProps/custom.xml><?xml version="1.0" encoding="utf-8"?>
<Properties xmlns="http://schemas.openxmlformats.org/officeDocument/2006/custom-properties" xmlns:vt="http://schemas.openxmlformats.org/officeDocument/2006/docPropsVTypes"/>
</file>