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MCMI-IV Results Section Template</w:t>
      </w:r>
    </w:p>
    <w:p>
      <w:pPr>
        <w:pBdr>
          <w:bottom w:val="single" w:color="000000" w:sz="18"/>
        </w:pBdr>
        <w:spacing w:after="11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date:</w:t>
            </w:r>
          </w:p>
        </w:tc>
      </w:tr>
    </w:tbl>
    <w:p>
      <w:pPr>
        <w:spacing w:before="5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Platform (Q-global / Q Local / mail-in):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Administered by: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Measures, edition, norms, and administration</w:t>
      </w:r>
    </w:p>
    <w:p>
      <w:pPr>
        <w:spacing w:after="50"/>
      </w:pPr>
      <w:r>
        <w:rPr>
          <w:color w:val="64748B"/>
          <w:sz w:val="16"/>
          <w:szCs w:val="16"/>
        </w:rPr>
        <w:t xml:space="preserve">MCMI-IV, platform, modality; clinical norm reference and why this examinee fits it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Protocol validity and response style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Invalidity and Inconsistency checks; Disclosure, Desirability, Debasement described; interpretability conclusion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Base Rate frame, stated once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Prevalence-anchored BR; 75 presence and 85 prominence by convention; not T scores; no cross-scale comparisons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Personality findings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Severe personality pathology, elevated patterns and how they cohere, Grossman facets localizing each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Clinical syndromes, in the personality context</w:t>
      </w:r>
    </w:p>
    <w:p>
      <w:pPr>
        <w:spacing w:after="50"/>
      </w:pPr>
      <w:r>
        <w:rPr>
          <w:color w:val="64748B"/>
          <w:sz w:val="16"/>
          <w:szCs w:val="16"/>
        </w:rPr>
        <w:t xml:space="preserve">Syndrome elevations tied to the pattern; severe syndrome scales noted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Diagnostic formulation and interpretive summary</w:t>
      </w:r>
    </w:p>
    <w:p>
      <w:pPr>
        <w:spacing w:after="50"/>
      </w:pPr>
      <w:r>
        <w:rPr>
          <w:color w:val="64748B"/>
          <w:sz w:val="16"/>
          <w:szCs w:val="16"/>
        </w:rPr>
        <w:t xml:space="preserve">Hedged pattern language; corroboration from interview, history, records; what the inventory cannot establish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9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50"/>
      </w:pPr>
      <w:r>
        <w:rPr>
          <w:color w:val="64748B"/>
          <w:sz w:val="16"/>
          <w:szCs w:val="16"/>
        </w:rPr>
        <w:t xml:space="preserve">Each recommendation tied to a named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Interpretive report paraphrased, not pasted: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Re-evaluation considered:</w:t>
            </w:r>
          </w:p>
        </w:tc>
      </w:tr>
    </w:tbl>
    <w:p>
      <w:pPr>
        <w:spacing w:before="8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bastiongpt.com/template/mcmi-iv-report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2026-07-23T09:22:04.247Z</dcterms:created>
  <dcterms:modified xsi:type="dcterms:W3CDTF">2026-07-23T09:22:04.249Z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