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Mental Medical Source Statement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August 2026 · Adapt fields to your organization's, payer's and jurisdiction's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Claimant (initials, age):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Claim or file #: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(name, credentials, license #):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Report date: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Treatment relationship (first visit, last visit, frequency):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Records reviewed and dates covered: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Diagnoses, treatment, and response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ICD-10 diagnoses · treatment and response, side effects · dated measure scores · collateral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Understanding, remembering, and carrying out instructions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Simple and complex instructions rated separately · judgment · the evidence behind each rating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Concentration, persistence, and pace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Initiating, sustaining, and completing tasks over a normal schedule · pace and recovery after interruption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Social interaction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Supervisors, coworkers, and public contact · response to criticism and conflict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8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Adaptation and workplace pressures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Change, ordinary stress, decision-making, safety awareness · evidence for each area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8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Duration, course, and what the claimant can still do</w:t>
      </w:r>
    </w:p>
    <w:p>
      <w:pPr>
        <w:spacing w:after="40"/>
      </w:pPr>
      <w:r>
        <w:rPr>
          <w:color w:val="64748B"/>
          <w:sz w:val="16"/>
          <w:szCs w:val="16"/>
        </w:rPr>
        <w:t xml:space="preserve">Onset support · episodic pattern · expected persistence · retained abilities · the agency decides disability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6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Compliance notice (keep with the statement)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color w:val="111827"/>
                <w:sz w:val="16"/>
                <w:szCs w:val="16"/>
              </w:rPr>
              <w:t xml:space="preserve">A medical source statement is evidence, not the decision: the agency or insurer determines disability, so describe function and leave the legal conclusion out. No law mandates this format; content for US Social Security claims is defined in 20 CFR 404.1513(a)(2), and HA-1152 is an appeals-stage tool. Support every rating with findings, dated scores, or observed behavior, explain whether in-session presentation generalizes to a workweek, and state duration and expected persistence. Off-task percentages and absence estimates are questionnaire conventions; complete them only where your records support a number. Adapt sections to the requesting program.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Submitted to (program / insurer / representative):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972"/>
        <w:gridCol w:w="2658"/>
      </w:tblGrid>
      <w:tr>
        <w:tc>
          <w:tcPr>
            <w:tcW w:type="dxa" w:w="7972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signature and credentials:</w:t>
            </w:r>
          </w:p>
        </w:tc>
        <w:tc>
          <w:tcPr>
            <w:tcW w:type="dxa" w:w="2658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statement, and compliance notes: </w:t>
    </w:r>
    <w:r>
      <w:rPr>
        <w:b/>
        <w:bCs/>
        <w:color w:val="000000"/>
        <w:sz w:val="16"/>
        <w:szCs w:val="16"/>
      </w:rPr>
      <w:t xml:space="preserve">bastiongpt.com/template/medical-source-statement</w:t>
    </w:r>
    <w:r>
      <w:rPr>
        <w:color w:val="64748B"/>
        <w:sz w:val="16"/>
        <w:szCs w:val="16"/>
      </w:rPr>
      <w:t xml:space="preserve">   ·   BastionGPT drafts complete medical source statements.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2026-08-07T16:06:37.945Z</dcterms:created>
  <dcterms:modified xsi:type="dcterms:W3CDTF">2026-08-07T16:06:37.946Z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