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Mini-Cog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28"/>
        <w:gridCol w:w="5102"/>
      </w:tblGrid>
      <w:tr>
        <w:tc>
          <w:tcPr>
            <w:tcW w:type="dxa" w:w="552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 + word-list version + language:</w:t>
            </w:r>
          </w:p>
        </w:tc>
        <w:tc>
          <w:tcPr>
            <w:tcW w:type="dxa" w:w="510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Administered by (role) + indication: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Conditions and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Hearing and vision aids · motor limits · pain · acute illness · attention · education and literacy · analog-clock familiarity · deviations · conclusion: interpretable / with caution / not interpretable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Result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Recall ___/3 · clock ___/2 (2 normal, 0 abnormal) · total ___/5 · prior result and list version if repeat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Screen positive (0 to 2) / negative (3 to 5) · program rule for scores under 4 · not MCI, dementia, cause, capacity, or driving fitness · reversible contributors considered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Disclosure and collateral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was explained · who was present with permission · response · informant, onset, course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 and safety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Medications · finances · appointments · driving · cooking · falls · vulnerability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and closed loop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Medication review · investigations · fuller cognitive and functional assessment or referral · interim safety steps · owner and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Declined or invalid attempt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Offered and declined · reason if volunteered · alternative assessment · re-offer plan · invalid: reason and reassessment plan · never a score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Screening and copyright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Mini-Cog is a screening instrument, not a diagnostic test: a total of 0 to 2 indicates a higher likelihood of clinically important cognitive impairment and calls for a fuller cognitive and medical evaluation, while 3 to 5 does not rule out impairment, and no result establishes mild cognitive impairment, dementia, a cause, decisional capacity, or driving fitness. No US, Canadian, or Australian authority requires the Mini-Cog by name. Chart both component scores, the form and word-list version, the language, the administrator, and the validity conditions; a motor, visual, literacy, or delirium barrier makes the attempt not interpretable rather than abnormal, and a declined screen is charted as declined, never as a score. The Mini-Cog is copyright Soo Borson (mini-cog.com); this template contains no word lists, clock instructions, or form content and is not a substitute for the official instrument.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bastiongpt.com/template/mini-cog</w:t>
    </w:r>
    <w:r>
      <w:rPr>
        <w:color w:val="64748B"/>
        <w:sz w:val="16"/>
        <w:szCs w:val="16"/>
      </w:rPr>
      <w:t xml:space="preserve">   ·   BastionGPT drafts complete Mini-Cog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2026-08-15T17:59:50.604Z</dcterms:created>
  <dcterms:modified xsi:type="dcterms:W3CDTF">2026-08-15T17:59:50.604Z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