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MMPI-3 Results Section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norms: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Platform / modality: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Measures and administration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Language and norms; platform (Q-global, Q Local, paper); modality documented if remote (OSA/ROSA); comparison group if any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Protocol validity first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Consistency (CNS, CRIN, VRIN, TRIN); over-reporting (F, Fp, Fs, FBS, RBS); under-reporting (L, K); interpretability conclusion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Substantive findings by domain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Higher-Order frame (EID, THD, BXD); somatic/cognitive, internalizing, thought, externalizing, interpersonal; T-at-65 convention stated once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Comparison-group context (if applied)</w:t>
      </w:r>
    </w:p>
    <w:p>
      <w:pPr>
        <w:spacing w:after="40"/>
      </w:pPr>
      <w:r>
        <w:rPr>
          <w:color w:val="64748B"/>
          <w:sz w:val="16"/>
          <w:szCs w:val="16"/>
        </w:rPr>
        <w:t xml:space="preserve">Group named; candidate or patient data kept separate from normative T scores; guarded-profile limits stated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Interpretive narrative integration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Computer report paraphrased; minimum-necessary excerpts only; reconciled with interview, history, records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Hypotheses corroborated across sources; the referral question answered; what the profile cannot establish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recommendation tied to a stated finding; risk routed through the evaluation’s risk assessment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Retest rationale, if planned: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Report due:</w:t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bastiongpt.com/template/mmpi-3-report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2026-07-20T15:00:40.229Z</dcterms:created>
  <dcterms:modified xsi:type="dcterms:W3CDTF">2026-07-20T15:00:40.231Z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