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000000"/>
          <w:sz w:val="34"/>
          <w:szCs w:val="34"/>
        </w:rPr>
        <w:t xml:space="preserve">OASIS Documentation Template</w:t>
      </w:r>
    </w:p>
    <w:p>
      <w:pPr>
        <w:pBdr>
          <w:bottom w:val="single" w:color="000000" w:sz="18"/>
        </w:pBdr>
        <w:spacing w:after="80"/>
      </w:pPr>
      <w:r>
        <w:rPr>
          <w:color w:val="64748B"/>
          <w:sz w:val="16"/>
          <w:szCs w:val="16"/>
        </w:rPr>
        <w:t xml:space="preserve">Reviewed by the BastionGPT Clinical Advisory Board · September 2026 · Adapt fields to your organization’s, payer’s and jurisdiction’s documentation requirements. Contains no OASIS item text or response options.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2657"/>
        <w:gridCol w:w="2126"/>
        <w:gridCol w:w="2126"/>
        <w:gridCol w:w="3721"/>
      </w:tblGrid>
      <w:tr>
        <w:tc>
          <w:tcPr>
            <w:tcW w:type="dxa" w:w="2657"/>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Setting:</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Patient (initials):</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c>
          <w:tcPr>
            <w:tcW w:type="dxa" w:w="372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800"/>
        <w:gridCol w:w="4830"/>
      </w:tblGrid>
      <w:tr>
        <w:tc>
          <w:tcPr>
            <w:tcW w:type="dxa" w:w="5800"/>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Time point (SOC / ROC / recert / TRN / DAH / DC):</w:t>
            </w:r>
          </w:p>
        </w:tc>
        <w:tc>
          <w:tcPr>
            <w:tcW w:type="dxa" w:w="4830"/>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Assessing discipline + item set version:</w:t>
            </w:r>
          </w:p>
        </w:tc>
      </w:tr>
    </w:tbl>
    <w:p>
      <w:pPr>
        <w:spacing w:after="20" w:before="30"/>
      </w:pPr>
      <w:r>
        <w:rPr>
          <w:b/>
          <w:bCs/>
          <w:color w:val="000000"/>
          <w:sz w:val="22"/>
          <w:szCs w:val="22"/>
        </w:rPr>
        <w:t xml:space="preserve">Window evidence and eligibility</w:t>
      </w:r>
    </w:p>
    <w:p>
      <w:pPr>
        <w:spacing w:after="40"/>
      </w:pPr>
      <w:r>
        <w:rPr>
          <w:color w:val="64748B"/>
          <w:sz w:val="16"/>
          <w:szCs w:val="16"/>
        </w:rPr>
        <w:t xml:space="preserve">Referral date (M0104) · ordered start date (M0102) · SOC date (M0030) · visit dates · M0090 date completed · 48-hour visit, 5-day SOC completion, 2-day ROC, transfer, death, discharge windows met · discipline eligible at SOC (RN, PT, SLP, OT with PT or SLP) · late: reason recorded</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Collaboration and M0090</w:t>
      </w:r>
    </w:p>
    <w:p>
      <w:pPr>
        <w:spacing w:after="40"/>
      </w:pPr>
      <w:r>
        <w:rPr>
          <w:color w:val="64748B"/>
          <w:sz w:val="16"/>
          <w:szCs w:val="16"/>
        </w:rPr>
        <w:t xml:space="preserve">Agency policy allows collaboration: yes or no · each contributor, discipline, date, and what was contributed (patient, caregiver, physician, pharmacist, agency staff with direct contact) · input inside the window · M0090 is the last date information was gathered</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Responses with supporting observation</w:t>
      </w:r>
    </w:p>
    <w:p>
      <w:pPr>
        <w:spacing w:after="40"/>
      </w:pPr>
      <w:r>
        <w:rPr>
          <w:color w:val="64748B"/>
          <w:sz w:val="16"/>
          <w:szCs w:val="16"/>
        </w:rPr>
        <w:t xml:space="preserve">For each response a measure or payment can turn on: the task, the help and device, the date and time observed · interviews answered by the patient · skin items agree with the wound note · falls items agree with the fall record · dashes only when no information exists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4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M1800 series and M1033: ability</w:t>
      </w:r>
    </w:p>
    <w:p>
      <w:pPr>
        <w:spacing w:after="40"/>
      </w:pPr>
      <w:r>
        <w:rPr>
          <w:color w:val="64748B"/>
          <w:sz w:val="16"/>
          <w:szCs w:val="16"/>
        </w:rPr>
        <w:t xml:space="preserve">Ability to perform safely on the day of assessment (24 hours before the visit plus the visit) · usual status when ability varied, both observations written · caregiver habit and patient choice separated from ability · these eight items set the PDGM functional level</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Section GG usual performance</w:t>
      </w:r>
    </w:p>
    <w:p>
      <w:pPr>
        <w:spacing w:after="40"/>
      </w:pPr>
      <w:r>
        <w:rPr>
          <w:color w:val="64748B"/>
          <w:sz w:val="16"/>
          <w:szCs w:val="16"/>
        </w:rPr>
        <w:t xml:space="preserve">GG0130 self-care and GG0170 mobility coded on usual performance at baseline, before agency services · each attempt listed with the help required · therapy observations through collaboration · not attempted: the item's reason code and the reason, never a dash</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Drug regimen review and medication items</w:t>
      </w:r>
    </w:p>
    <w:p>
      <w:pPr>
        <w:spacing w:after="40"/>
      </w:pPr>
      <w:r>
        <w:rPr>
          <w:color w:val="64748B"/>
          <w:sz w:val="16"/>
          <w:szCs w:val="16"/>
        </w:rPr>
        <w:t xml:space="preserve">M2001 issues found · physician or practitioner contacted: date and time · orders or recommendations received: date and time (midnight of the next calendar day) · N0415 classes in the reconciled regimen even if a dose was missed · M2020 oral medication ability · M2005 at transfer or discharge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Plan of care, QA, correction, transmission</w:t>
      </w:r>
    </w:p>
    <w:p>
      <w:pPr>
        <w:spacing w:after="40"/>
      </w:pPr>
      <w:r>
        <w:rPr>
          <w:color w:val="64748B"/>
          <w:sz w:val="16"/>
          <w:szCs w:val="16"/>
        </w:rPr>
        <w:t xml:space="preserve">Each identified need has an intervention and a measurable goal in the plan of care (42 CFR 484.60) · QA review date, queries, and resolution before lock · iQIES transmission date within 30 days of M0090 · modification or inactivation record if corrected, within 24 months, per agency correction policy</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Version and rights notice (keep with every template)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c>
          <w:tcPr>
            <w:tcW w:type="dxa" w:w="10630"/>
            <w:tcBorders>
              <w:top w:val="single" w:color="767676" w:sz="6"/>
              <w:left w:val="single" w:color="767676" w:sz="6"/>
              <w:bottom w:val="single" w:color="767676" w:sz="6"/>
              <w:right w:val="single" w:color="767676" w:sz="6"/>
            </w:tcBorders>
            <w:tcMar>
              <w:top w:type="dxa" w:w="90"/>
              <w:left w:type="dxa" w:w="120"/>
              <w:bottom w:type="dxa" w:w="90"/>
              <w:right w:type="dxa" w:w="120"/>
            </w:tcMar>
          </w:tcPr>
          <w:p>
            <w:r>
              <w:rPr>
                <w:color w:val="111827"/>
                <w:sz w:val="16"/>
                <w:szCs w:val="16"/>
              </w:rPr>
              <w:t xml:space="preserve">OASIS is the patient assessment item set CMS requires of Medicare home health agencies, in force as OASIS-E2 since April 1, 2026 and collected at start of care, resumption of care, recertification, other follow-up, transfer, death at home, and discharge. It is a data set with coding conventions, not a scored scale: one qualified clinician is responsible for each assessment and may collaborate within the window when agency policy allows, M0090 is the last date information was gathered, the M1800-series items rate ability on the day of assessment, the GG items code usual performance at baseline, and every response must be supported by an observation in the record. Accepted records can be modified or inactivated for 24 months under the agency's correction policy. OASIS is a CMS instrument in the public domain; its developers granted free use with acknowledgement of authorship, and submission must follow the CMS data specifications through iQIES. This template is for United States home health agencies, contains no OASIS item text or response options, and is not a substitute for the instrument or the Guidance Manual. This is general documentation guidance, not clinical or legal advice.</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315"/>
        <w:gridCol w:w="3544"/>
        <w:gridCol w:w="1771"/>
      </w:tblGrid>
      <w:tr>
        <w:tc>
          <w:tcPr>
            <w:tcW w:type="dxa" w:w="5315"/>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 (name and credentials):</w:t>
            </w:r>
          </w:p>
        </w:tc>
        <w:tc>
          <w:tcPr>
            <w:tcW w:type="dxa" w:w="3544"/>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Signature:</w:t>
            </w:r>
          </w:p>
        </w:tc>
        <w:tc>
          <w:tcPr>
            <w:tcW w:type="dxa" w:w="177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r>
    </w:tbl>
    <w:sectPr>
      <w:footerReference w:type="default" r:id="rId7"/>
      <w:pgSz w:w="12240" w:h="15840" w:orient="portrait"/>
      <w:pgMar w:top="720" w:right="810" w:bottom="720" w:left="810" w:header="708" w:footer="34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4748B"/>
        <w:sz w:val="16"/>
        <w:szCs w:val="16"/>
      </w:rPr>
      <w:t xml:space="preserve">Full guide, sample note, and compliance notes: </w:t>
    </w:r>
    <w:r>
      <w:rPr>
        <w:b/>
        <w:bCs/>
        <w:color w:val="000000"/>
        <w:sz w:val="16"/>
        <w:szCs w:val="16"/>
      </w:rPr>
      <w:t xml:space="preserve">bastiongpt.com/template/oasis-assessment</w:t>
    </w:r>
    <w:r>
      <w:rPr>
        <w:color w:val="64748B"/>
        <w:sz w:val="16"/>
        <w:szCs w:val="16"/>
      </w:rPr>
      <w:t xml:space="preserve">   ·   BastionGPT drafts complete OASIS documentation for your review. Free 7-day trial.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2026-09-05T22:22:04.426Z</dcterms:created>
  <dcterms:modified xsi:type="dcterms:W3CDTF">2026-09-05T22:22:04.426Z</dcterms:modified>
</cp:coreProperties>
</file>

<file path=docProps/custom.xml><?xml version="1.0" encoding="utf-8"?>
<Properties xmlns="http://schemas.openxmlformats.org/officeDocument/2006/custom-properties" xmlns:vt="http://schemas.openxmlformats.org/officeDocument/2006/docPropsVTypes"/>
</file>