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Outcome Measure Review Note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800"/>
        <w:gridCol w:w="3630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number: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23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  <w:tc>
          <w:tcPr>
            <w:tcW w:type="dxa" w:w="52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Next administration due: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Instrument and administration</w:t>
      </w:r>
      <w:r>
        <w:rPr>
          <w:color w:val="64748B"/>
          <w:sz w:val="15"/>
          <w:szCs w:val="15"/>
        </w:rPr>
        <w:t xml:space="preserve">   name, version, date administered, and how: in session, portal, or waiting room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Score</w:t>
      </w:r>
      <w:r>
        <w:rPr>
          <w:color w:val="64748B"/>
          <w:sz w:val="15"/>
          <w:szCs w:val="15"/>
        </w:rPr>
        <w:t xml:space="preserve">   total and subscales; who scored 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Trend vs baseline and prior scores</w:t>
      </w:r>
      <w:r>
        <w:rPr>
          <w:color w:val="64748B"/>
          <w:sz w:val="15"/>
          <w:szCs w:val="15"/>
        </w:rPr>
        <w:t xml:space="preserve">   baseline, priors, today: date and score rows; change since baseline and since last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Clinical interpretation</w:t>
      </w:r>
      <w:r>
        <w:rPr>
          <w:color w:val="64748B"/>
          <w:sz w:val="15"/>
          <w:szCs w:val="15"/>
        </w:rPr>
        <w:t xml:space="preserve">   severity range, direction and size of change, fit with session presentation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Item-level flags and risk follow-up</w:t>
      </w:r>
      <w:r>
        <w:rPr>
          <w:color w:val="64748B"/>
          <w:sz w:val="15"/>
          <w:szCs w:val="15"/>
        </w:rPr>
        <w:t xml:space="preserve">   items reviewed or elevated; same-day risk follow-up and outcome if indicated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Discussion with client</w:t>
      </w:r>
      <w:r>
        <w:rPr>
          <w:color w:val="64748B"/>
          <w:sz w:val="15"/>
          <w:szCs w:val="15"/>
        </w:rPr>
        <w:t xml:space="preserve">   scores shared and discussed; the client’s response in their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Treatment decision</w:t>
      </w:r>
      <w:r>
        <w:rPr>
          <w:color w:val="64748B"/>
          <w:sz w:val="15"/>
          <w:szCs w:val="15"/>
        </w:rPr>
        <w:t xml:space="preserve">   continue, adjust intervention, frequency, referral, or goal update; rationale linking score to decision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463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4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bastiongpt.com/template/outcome-measure-note</w:t>
    </w:r>
    <w:r>
      <w:rPr>
        <w:color w:val="64748B"/>
        <w:sz w:val="16"/>
        <w:szCs w:val="16"/>
      </w:rPr>
      <w:t xml:space="preserve">   ·   BastionGPT drafts the note from your scores and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2026-07-23T18:33:56.164Z</dcterms:created>
  <dcterms:modified xsi:type="dcterms:W3CDTF">2026-07-23T18:33:56.166Z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