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000000"/>
          <w:sz w:val="34"/>
          <w:szCs w:val="34"/>
        </w:rPr>
        <w:t xml:space="preserve">PAI Results Section Template</w:t>
      </w:r>
    </w:p>
    <w:p>
      <w:pPr>
        <w:pBdr>
          <w:bottom w:val="single" w:color="000000" w:sz="18"/>
        </w:pBdr>
        <w:spacing w:after="100"/>
      </w:pPr>
      <w:r>
        <w:rPr>
          <w:color w:val="64748B"/>
          <w:sz w:val="16"/>
          <w:szCs w:val="16"/>
        </w:rPr>
        <w:t xml:space="preserve">Reviewed by the BastionGPT Clinical Advisory Board · July 2026 · Adapt fields to your organization’s, payer’s and jurisdiction’s documentation requirements.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Client (initials):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Age: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Testing date:</w:t>
            </w:r>
          </w:p>
        </w:tc>
      </w:tr>
    </w:tbl>
    <w:p>
      <w:pPr>
        <w:spacing w:before="4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544"/>
        <w:gridCol w:w="3543"/>
        <w:gridCol w:w="3543"/>
      </w:tblGrid>
      <w:tr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Form / norms: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Platform / modality:</w:t>
            </w:r>
          </w:p>
        </w:tc>
        <w:tc>
          <w:tcPr>
            <w:tcW w:type="dxa" w:w="3543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Referral question:</w:t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Measures and administration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Form (full or 160-item short, with reason); language product; platform (PARiConnect, paper, PAI-SP); overlay if any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Protocol validity first</w:t>
      </w:r>
    </w:p>
    <w:p>
      <w:pPr>
        <w:spacing w:after="40"/>
      </w:pPr>
      <w:r>
        <w:rPr>
          <w:color w:val="64748B"/>
          <w:sz w:val="16"/>
          <w:szCs w:val="16"/>
        </w:rPr>
        <w:t xml:space="preserve">Consistency (ICN, INF); negative distortion (NIM, supplemental indicators); positive distortion (PIM); interpretability conclusion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Clinical scale findings by domain</w:t>
      </w:r>
    </w:p>
    <w:p>
      <w:pPr>
        <w:spacing w:after="40"/>
      </w:pPr>
      <w:r>
        <w:rPr>
          <w:color w:val="64748B"/>
          <w:sz w:val="16"/>
          <w:szCs w:val="16"/>
        </w:rPr>
        <w:t xml:space="preserve">Neurotic, psychotic, and behavior classes; subscales woven into prose; reference population labeled (community, clinical, or both)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4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Treatment consideration scales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Harm indicators routed to the risk assessment; stress and nonsupport tied to specifics; treatment rejection weighed against distress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4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Interpersonal functioning</w:t>
      </w:r>
    </w:p>
    <w:p>
      <w:pPr>
        <w:spacing w:after="40"/>
      </w:pPr>
      <w:r>
        <w:rPr>
          <w:color w:val="64748B"/>
          <w:sz w:val="16"/>
          <w:szCs w:val="16"/>
        </w:rPr>
        <w:t xml:space="preserve">Warmth and dominance as style context; alliance implications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Comparison-group context (if applied)</w:t>
      </w:r>
    </w:p>
    <w:p>
      <w:pPr>
        <w:spacing w:after="40"/>
      </w:pPr>
      <w:r>
        <w:rPr>
          <w:color w:val="64748B"/>
          <w:sz w:val="16"/>
          <w:szCs w:val="16"/>
        </w:rPr>
        <w:t xml:space="preserve">Applicant, incumbent, or PAI Plus group named; kept separate from normative T scores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22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Interpretive summary</w:t>
      </w:r>
    </w:p>
    <w:p>
      <w:pPr>
        <w:spacing w:after="40"/>
      </w:pPr>
      <w:r>
        <w:rPr>
          <w:color w:val="64748B"/>
          <w:sz w:val="16"/>
          <w:szCs w:val="16"/>
        </w:rPr>
        <w:t xml:space="preserve">Hypotheses corroborated across sources; referral question answered; norms vintage stated in high-stakes matters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20" w:before="80"/>
      </w:pPr>
      <w:r>
        <w:rPr>
          <w:b/>
          <w:bCs/>
          <w:color w:val="000000"/>
          <w:sz w:val="23"/>
          <w:szCs w:val="23"/>
        </w:rPr>
        <w:t xml:space="preserve">Recommendations linkage</w:t>
      </w:r>
    </w:p>
    <w:p>
      <w:pPr>
        <w:spacing w:after="40"/>
      </w:pPr>
      <w:r>
        <w:rPr>
          <w:color w:val="64748B"/>
          <w:sz w:val="16"/>
          <w:szCs w:val="16"/>
        </w:rPr>
        <w:t xml:space="preserve">Each recommendation tied to a stated finding; engagement strategy tied to the treatment-motivation finding</w:t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630"/>
      </w:tblGrid>
      <w:tr>
        <w:trPr>
          <w:trHeight w:val="300" w:hRule="atLeast"/>
        </w:trPr>
        <w:tc>
          <w:tcPr>
            <w:tcW w:type="dxa" w:w="10630"/>
            <w:tcBorders>
              <w:top w:val="single" w:color="767676" w:sz="6"/>
              <w:left w:val="single" w:color="767676" w:sz="6"/>
              <w:bottom w:val="single" w:color="767676" w:sz="6"/>
              <w:right w:val="single" w:color="767676" w:sz="6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before="70"/>
      </w:pPr>
      <w:r>
        <w:rPr>
          <w:sz w:val="8"/>
          <w:szCs w:val="8"/>
        </w:rPr>
        <w:t xml:space="preserve"/>
      </w:r>
    </w:p>
    <w:tbl>
      <w:tblPr>
        <w:tblW w:type="dxa" w:w="1063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86"/>
        <w:gridCol w:w="3544"/>
      </w:tblGrid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Evaluator signature / credentials: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 signed:</w:t>
            </w:r>
          </w:p>
        </w:tc>
      </w:tr>
      <w:tr>
        <w:tc>
          <w:tcPr>
            <w:tcW w:type="dxa" w:w="7086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Supervisor signature, where required:</w:t>
            </w:r>
          </w:p>
        </w:tc>
        <w:tc>
          <w:tcPr>
            <w:tcW w:type="dxa" w:w="3544"/>
            <w:tcBorders>
              <w:top w:val="none" w:color="FFFFFF" w:sz="0"/>
              <w:left w:val="none" w:color="FFFFFF" w:sz="0"/>
              <w:bottom w:val="single" w:color="767676" w:sz="8"/>
              <w:right w:val="none" w:color="FFFFFF" w:sz="0"/>
            </w:tcBorders>
            <w:tcMar>
              <w:top w:type="dxa" w:w="60"/>
              <w:left w:type="dxa" w:w="40"/>
              <w:bottom w:type="dxa" w:w="60"/>
              <w:right w:type="dxa" w:w="40"/>
            </w:tcMar>
          </w:tcPr>
          <w:p>
            <w:r>
              <w:rPr>
                <w:color w:val="334155"/>
                <w:sz w:val="18"/>
                <w:szCs w:val="18"/>
              </w:rPr>
              <w:t xml:space="preserve">Date:</w:t>
            </w:r>
          </w:p>
        </w:tc>
      </w:tr>
    </w:tbl>
    <w:sectPr>
      <w:footerReference w:type="default" r:id="rId7"/>
      <w:pgSz w:w="12240" w:h="15840" w:orient="portrait"/>
      <w:pgMar w:top="720" w:right="810" w:bottom="720" w:left="81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64748B"/>
        <w:sz w:val="16"/>
        <w:szCs w:val="16"/>
      </w:rPr>
      <w:t xml:space="preserve">Full guide and sample: </w:t>
    </w:r>
    <w:r>
      <w:rPr>
        <w:b/>
        <w:bCs/>
        <w:color w:val="000000"/>
        <w:sz w:val="16"/>
        <w:szCs w:val="16"/>
      </w:rPr>
      <w:t xml:space="preserve">bastiongpt.com/template/pai-report</w:t>
    </w:r>
    <w:r>
      <w:rPr>
        <w:color w:val="64748B"/>
        <w:sz w:val="16"/>
        <w:szCs w:val="16"/>
      </w:rPr>
      <w:t xml:space="preserve">   ·   BastionGPT drafts evaluation reports. Free 7-day trial.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2026-07-21T05:15:08.067Z</dcterms:created>
  <dcterms:modified xsi:type="dcterms:W3CDTF">2026-07-21T05:15:08.069Z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