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PCL-R Section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test content.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530"/>
        <w:gridCol w:w="5100"/>
      </w:tblGrid>
      <w:tr>
        <w:tc>
          <w:tcPr>
            <w:tcW w:type="dxa" w:w="55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Procedure + collateral sources:</w:t>
            </w:r>
          </w:p>
        </w:tc>
        <w:tc>
          <w:tcPr>
            <w:tcW w:type="dxa" w:w="51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Norm group + rater training:</w:t>
            </w:r>
          </w:p>
        </w:tc>
      </w:tr>
    </w:tbl>
    <w:p>
      <w:pPr>
        <w:spacing w:after="20" w:before="30"/>
      </w:pPr>
      <w:r>
        <w:rPr>
          <w:b/>
          <w:bCs/>
          <w:color w:val="000000"/>
          <w:sz w:val="22"/>
          <w:szCs w:val="22"/>
        </w:rPr>
        <w:t xml:space="preserve">Referral question and legal standard</w:t>
      </w:r>
    </w:p>
    <w:p>
      <w:pPr>
        <w:spacing w:after="40"/>
      </w:pPr>
      <w:r>
        <w:rPr>
          <w:color w:val="64748B"/>
          <w:sz w:val="16"/>
          <w:szCs w:val="16"/>
        </w:rPr>
        <w:t xml:space="preserve">Court order or retaining party and date · psycholegal question the score informs · your role · notice given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Sources and administration conditions</w:t>
      </w:r>
    </w:p>
    <w:p>
      <w:pPr>
        <w:spacing w:after="40"/>
      </w:pPr>
      <w:r>
        <w:rPr>
          <w:color w:val="64748B"/>
          <w:sz w:val="16"/>
          <w:szCs w:val="16"/>
        </w:rPr>
        <w:t xml:space="preserve">Interview dates and length, completed or declined · records reviewed by category and dates · collateral contacts · records not received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Rater qualification and second rating</w:t>
      </w:r>
    </w:p>
    <w:p>
      <w:pPr>
        <w:spacing w:after="40"/>
      </w:pPr>
      <w:r>
        <w:rPr>
          <w:color w:val="64748B"/>
          <w:sz w:val="16"/>
          <w:szCs w:val="16"/>
        </w:rPr>
        <w:t xml:space="preserve">Licensure · PCL-R training and experience · independent second rater, blind or not · both totals · averaging or consensus procedure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Total score with measurement error</w:t>
      </w:r>
    </w:p>
    <w:p>
      <w:pPr>
        <w:spacing w:after="40"/>
      </w:pPr>
      <w:r>
        <w:rPr>
          <w:color w:val="64748B"/>
          <w:sz w:val="16"/>
          <w:szCs w:val="16"/>
        </w:rPr>
        <w:t xml:space="preserve">Total reported as a band using the manual standard error · named comparison group and procedure · percentile band in prose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Factor and facet pattern</w:t>
      </w:r>
    </w:p>
    <w:p>
      <w:pPr>
        <w:spacing w:after="40"/>
      </w:pPr>
      <w:r>
        <w:rPr>
          <w:color w:val="64748B"/>
          <w:sz w:val="16"/>
          <w:szCs w:val="16"/>
        </w:rPr>
        <w:t xml:space="preserve">Relative elevation across the four published facet labels · whether both raters saw the same shape · no item narrative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Limits and inferential boundaries</w:t>
      </w:r>
    </w:p>
    <w:p>
      <w:pPr>
        <w:spacing w:after="40"/>
      </w:pPr>
      <w:r>
        <w:rPr>
          <w:color w:val="64748B"/>
          <w:sz w:val="16"/>
          <w:szCs w:val="16"/>
        </w:rPr>
        <w:t xml:space="preserve">Not a diagnosis · not a stand-alone prediction · thresholds are research conventions · field reliability and allegiance literature disclosed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Integration with risk assessment and formulation</w:t>
      </w:r>
    </w:p>
    <w:p>
      <w:pPr>
        <w:spacing w:after="40"/>
      </w:pPr>
      <w:r>
        <w:rPr>
          <w:color w:val="64748B"/>
          <w:sz w:val="16"/>
          <w:szCs w:val="16"/>
        </w:rPr>
        <w:t xml:space="preserve">Structured risk instrument and its section · dynamic and protective factors · treatment and supervision conditions · traits described, epithet avoided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Test security and legal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PCL-R informs but never decides a legal question: no statute in the United States, Canada, or Australia names it, its thresholds are research conventions rather than diagnoses or decision rules, and comparative research finds it predicts violence at the same moderate level as other tools. Write the section as evidence: the question and your role, the interview and collateral sources with dates, records not received, any file-only or prorated procedure disclosed, your training and any independent second rating, the total as a band using the manual standard error against a named comparison group, the pattern at the level of the published facet labels, the limits, and the hand-off to the structured risk instrument. Hare PCL-R is a trademark of Multi-Health Systems Inc.; the rating booklet, item descriptions, interview guide, scoring criteria, and norms are the publisher's protected materials and may not be reproduced, and this template contains no test content. Before releasing test data or materials under a subpoena, consult your attorney or board; state rules vary.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bastiongpt.com/template/pcl-r-report</w:t>
    </w:r>
    <w:r>
      <w:rPr>
        <w:color w:val="64748B"/>
        <w:sz w:val="16"/>
        <w:szCs w:val="16"/>
      </w:rPr>
      <w:t xml:space="preserve">   ·   BastionGPT drafts complete PCL-R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2026-09-03T07:06:22.202Z</dcterms:created>
  <dcterms:modified xsi:type="dcterms:W3CDTF">2026-09-03T07:06:22.203Z</dcterms:modified>
</cp:coreProperties>
</file>

<file path=docProps/custom.xml><?xml version="1.0" encoding="utf-8"?>
<Properties xmlns="http://schemas.openxmlformats.org/officeDocument/2006/custom-properties" xmlns:vt="http://schemas.openxmlformats.org/officeDocument/2006/docPropsVTypes"/>
</file>