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PLS-5 Results Section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900"/>
        <w:gridCol w:w="5730"/>
      </w:tblGrid>
      <w:tr>
        <w:tc>
          <w:tcPr>
            <w:tcW w:type="dxa" w:w="49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Edition, form + materials:</w:t>
            </w:r>
          </w:p>
        </w:tc>
        <w:tc>
          <w:tcPr>
            <w:tcW w:type="dxa" w:w="57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Ages + eligibility rule applied:</w:t>
            </w:r>
          </w:p>
        </w:tc>
      </w:tr>
    </w:tbl>
    <w:p>
      <w:pPr>
        <w:spacing w:after="20" w:before="30"/>
      </w:pPr>
      <w:r>
        <w:rPr>
          <w:b/>
          <w:bCs/>
          <w:color w:val="000000"/>
          <w:sz w:val="22"/>
          <w:szCs w:val="22"/>
        </w:rPr>
        <w:t xml:space="preserve">Referral, edition, and ages</w:t>
      </w:r>
    </w:p>
    <w:p>
      <w:pPr>
        <w:spacing w:after="40"/>
      </w:pPr>
      <w:r>
        <w:rPr>
          <w:color w:val="64748B"/>
          <w:sz w:val="16"/>
          <w:szCs w:val="16"/>
        </w:rPr>
        <w:t xml:space="preserve">Referral question · evaluation dates · edition and form · chronological and corrected age with gestational age and the policy that authorizes correction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Evidence sources</w:t>
      </w:r>
    </w:p>
    <w:p>
      <w:pPr>
        <w:spacing w:after="40"/>
      </w:pPr>
      <w:r>
        <w:rPr>
          <w:color w:val="64748B"/>
          <w:sz w:val="16"/>
          <w:szCs w:val="16"/>
        </w:rPr>
        <w:t xml:space="preserve">Which credited behaviors came from caregiver report on the Home Communication Questionnaire, which were observed, and which were elicited in session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Behavioral and validity conditions</w:t>
      </w:r>
    </w:p>
    <w:p>
      <w:pPr>
        <w:spacing w:after="40"/>
      </w:pPr>
      <w:r>
        <w:rPr>
          <w:color w:val="64748B"/>
          <w:sz w:val="16"/>
          <w:szCs w:val="16"/>
        </w:rPr>
        <w:t xml:space="preserve">Engagement and attention · hearing status · home languages and exposure · interpreter or telepractice · whether the normative comparison fits this child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Scale scores with intervals</w:t>
      </w:r>
    </w:p>
    <w:p>
      <w:pPr>
        <w:spacing w:after="40"/>
      </w:pPr>
      <w:r>
        <w:rPr>
          <w:color w:val="64748B"/>
          <w:sz w:val="16"/>
          <w:szCs w:val="16"/>
        </w:rPr>
        <w:t xml:space="preserve">AC, EC, and Total Language: standard score (mean 100, SD 15) · confidence interval · percentile · descriptor in prose · GSV recorded · age equivalent only where a form requires one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Converging evidence</w:t>
      </w:r>
    </w:p>
    <w:p>
      <w:pPr>
        <w:spacing w:after="40"/>
      </w:pPr>
      <w:r>
        <w:rPr>
          <w:color w:val="64748B"/>
          <w:sz w:val="16"/>
          <w:szCs w:val="16"/>
        </w:rPr>
        <w:t xml:space="preserve">Language sample (context, length, findings) · independent parent-report inventory such as the CDI · Articulation Screener result · hearing screen or audiology result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Eligibility analysis</w:t>
      </w:r>
    </w:p>
    <w:p>
      <w:pPr>
        <w:spacing w:after="40"/>
      </w:pPr>
      <w:r>
        <w:rPr>
          <w:color w:val="64748B"/>
          <w:sz w:val="16"/>
          <w:szCs w:val="16"/>
        </w:rPr>
        <w:t xml:space="preserve">Criterion quoted and applied in its own currency (SD from standard scores; percent delay only by the state's method) · AC or EC alone if the rule allows · other sources · informed clinical opinion · the team decides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Family summary and next steps</w:t>
      </w:r>
    </w:p>
    <w:p>
      <w:pPr>
        <w:spacing w:after="40"/>
      </w:pPr>
      <w:r>
        <w:rPr>
          <w:color w:val="64748B"/>
          <w:sz w:val="16"/>
          <w:szCs w:val="16"/>
        </w:rPr>
        <w:t xml:space="preserve">Plain language: what is easier, what is harder, what the family reported, whether the criterion was met · IFSP timeline · referrals · transition planning near age three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Eligibility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PLS-5 informs but never determines early-intervention or preschool eligibility: federal law prohibits any single procedure as the sole criterion, requires a multisource evaluation with informed clinical opinion (which can establish but never negate eligibility), and leaves the delay definition to each state, where standard-deviation rules and percent-delay rules are different currencies; a standard score never converts to a percent delay, and percent delay comes only from the state's own approved method. Name the edition and materials, label which credited behaviors came from caregiver report, report Auditory Comprehension, Expressive Communication, and Total Language with confidence intervals, remember that a low AC or EC score alone may qualify a child whose total does not, and apply prematurity correction only through 24 months with both ages stated. PLS-5 is a trademark of NCS Pearson, Inc.; record forms, the Home Communication Questionnaire, stimuli, norms, conversion tables, and scoring logic may not be reproduced, and this template contains no test content.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bastiongpt.com/template/pls-5-report</w:t>
    </w:r>
    <w:r>
      <w:rPr>
        <w:color w:val="64748B"/>
        <w:sz w:val="16"/>
        <w:szCs w:val="16"/>
      </w:rPr>
      <w:t xml:space="preserve">   ·   BastionGPT drafts complete PLS-5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2026-09-03T05:11:17.132Z</dcterms:created>
  <dcterms:modified xsi:type="dcterms:W3CDTF">2026-09-03T05:11:17.133Z</dcterms:modified>
</cp:coreProperties>
</file>

<file path=docProps/custom.xml><?xml version="1.0" encoding="utf-8"?>
<Properties xmlns="http://schemas.openxmlformats.org/officeDocument/2006/custom-properties" xmlns:vt="http://schemas.openxmlformats.org/officeDocument/2006/docPropsVTypes"/>
</file>