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Prior Authorization Request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Member / client: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Plan: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BH carve-out vendor (if any):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2200"/>
        <w:gridCol w:w="3430"/>
      </w:tblGrid>
      <w:tr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Provider (name / credentials / license):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NPI:</w:t>
            </w:r>
          </w:p>
        </w:tc>
        <w:tc>
          <w:tcPr>
            <w:tcW w:type="dxa" w:w="34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Phone / fax / portal: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Requested service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State the request in billing terms; the eventual claims must mirror these entries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50"/>
        <w:gridCol w:w="1500"/>
        <w:gridCol w:w="2120"/>
        <w:gridCol w:w="2130"/>
        <w:gridCol w:w="2130"/>
      </w:tblGrid>
      <w:tr>
        <w:tc>
          <w:tcPr>
            <w:tcW w:type="dxa" w:w="275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CPT code(s):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Units:</w:t>
            </w:r>
          </w:p>
        </w:tc>
        <w:tc>
          <w:tcPr>
            <w:tcW w:type="dxa" w:w="21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Frequency: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 date:</w:t>
            </w:r>
          </w:p>
        </w:tc>
        <w:tc>
          <w:tcPr>
            <w:tcW w:type="dxa" w:w="21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End date:</w:t>
            </w:r>
          </w:p>
        </w:tc>
      </w:tr>
    </w:tbl>
    <w:p>
      <w:pPr>
        <w:spacing w:after="20" w:before="80"/>
      </w:pPr>
      <w:r>
        <w:rPr>
          <w:color w:val="334155"/>
          <w:sz w:val="18"/>
          <w:szCs w:val="18"/>
        </w:rPr>
        <w:t xml:space="preserve">Request type:   ☐  Initial request        ☐  Concurrent / continued-stay review</w:t>
      </w:r>
    </w:p>
    <w:p>
      <w:pPr>
        <w:spacing w:after="40" w:before="20"/>
      </w:pPr>
      <w:r>
        <w:rPr>
          <w:color w:val="334155"/>
          <w:sz w:val="18"/>
          <w:szCs w:val="18"/>
        </w:rPr>
        <w:t xml:space="preserve">Urgency:   ☐  Standard        ☐  Expedited (delay risks serious harm)</w:t>
      </w:r>
    </w:p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Diagnosis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Specific ICD-10-CM code plus name · no Z-code or rule-out standing alone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Severity and functional impairment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Scores with dates · this week’s function: work, school, relationships, self-care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PHQ-9: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GAD-7: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Other measure / score: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Level-of-care justification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Score against the named criteria set: LOCUS / CALOCUS-CASII / ASAM / plan criteria (InterQual, MCG)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Treatment history and prior response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Prior episodes · medication trials · earlier therapy · measured response to treatment so far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Risk factors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Current status stated either way · protective factors · monitoring plan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Treatment plan and goals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Measurable goals with baseline and target · interventions · requested frequency and duration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00"/>
      </w:pPr>
      <w:r>
        <w:rPr>
          <w:color w:val="334155"/>
          <w:sz w:val="18"/>
          <w:szCs w:val="18"/>
        </w:rPr>
        <w:t xml:space="preserve">Attachments:   ☐  treatment plan      ☐  recent progress note      ☐  score sheet      ☐  medical necessity letter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request, and compliance notes: </w:t>
    </w:r>
    <w:r>
      <w:rPr>
        <w:b/>
        <w:bCs/>
        <w:color w:val="000000"/>
        <w:sz w:val="16"/>
        <w:szCs w:val="16"/>
      </w:rPr>
      <w:t xml:space="preserve">bastiongpt.com/template/prior-authorization-request</w:t>
    </w:r>
    <w:r>
      <w:rPr>
        <w:color w:val="64748B"/>
        <w:sz w:val="16"/>
        <w:szCs w:val="16"/>
      </w:rPr>
      <w:t xml:space="preserve">   ·   BastionGPT drafts prior auth packets from your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2026-08-06T22:31:55.111Z</dcterms:created>
  <dcterms:modified xsi:type="dcterms:W3CDTF">2026-08-06T22:31:55.112Z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