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Psychoeducational Evaluation Report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2700"/>
        <w:gridCol w:w="273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Student (initials):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Dates of testing:</w:t>
            </w:r>
          </w:p>
        </w:tc>
        <w:tc>
          <w:tcPr>
            <w:tcW w:type="dxa" w:w="27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date: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00"/>
        <w:gridCol w:w="3100"/>
        <w:gridCol w:w="3230"/>
      </w:tblGrid>
      <w:tr>
        <w:tc>
          <w:tcPr>
            <w:tcW w:type="dxa" w:w="4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/ credentials / license: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(if required):</w:t>
            </w:r>
          </w:p>
        </w:tc>
        <w:tc>
          <w:tcPr>
            <w:tcW w:type="dxa" w:w="32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source: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Referral question</w:t>
      </w:r>
      <w:r>
        <w:rPr>
          <w:color w:val="64748B"/>
          <w:sz w:val="15"/>
          <w:szCs w:val="15"/>
        </w:rPr>
        <w:t xml:space="preserve">   the specific learning question this evaluation should answer, in one or two sentences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Background &amp; educational history</w:t>
      </w:r>
      <w:r>
        <w:rPr>
          <w:color w:val="64748B"/>
          <w:sz w:val="15"/>
          <w:szCs w:val="15"/>
        </w:rPr>
        <w:t xml:space="preserve">   development / language / attendance; instruction received; interventions tried with response data; prior evaluations; records reviewed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Observation &amp; validity</w:t>
      </w:r>
      <w:r>
        <w:rPr>
          <w:color w:val="64748B"/>
          <w:sz w:val="15"/>
          <w:szCs w:val="15"/>
        </w:rPr>
        <w:t xml:space="preserve">   classroom observation in the area of difficulty (pre-referral observation can count); testing-session behavior; explicit validity statement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Tests administered</w:t>
      </w:r>
      <w:r>
        <w:rPr>
          <w:color w:val="64748B"/>
          <w:sz w:val="15"/>
          <w:szCs w:val="15"/>
        </w:rPr>
        <w:t xml:space="preserve">   full instrument names with editions and administration dates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Cognitive results</w:t>
      </w:r>
      <w:r>
        <w:rPr>
          <w:color w:val="64748B"/>
          <w:sz w:val="15"/>
          <w:szCs w:val="15"/>
        </w:rPr>
        <w:t xml:space="preserve">   index scores with confidence intervals and percentiles, interpreted in prose (no single measure decides)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Academic achievement results</w:t>
      </w:r>
      <w:r>
        <w:rPr>
          <w:color w:val="64748B"/>
          <w:sz w:val="15"/>
          <w:szCs w:val="15"/>
        </w:rPr>
        <w:t xml:space="preserve">   standard scores by domain with the instructional meaning stated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Social-emotional / behavior results</w:t>
      </w:r>
      <w:r>
        <w:rPr>
          <w:color w:val="64748B"/>
          <w:sz w:val="15"/>
          <w:szCs w:val="15"/>
        </w:rPr>
        <w:t xml:space="preserve">   rating scales from two or more informants and settings, integrated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Exclusionary factors considered</w:t>
      </w:r>
      <w:r>
        <w:rPr>
          <w:color w:val="64748B"/>
          <w:sz w:val="15"/>
          <w:szCs w:val="15"/>
        </w:rPr>
        <w:t xml:space="preserve">   instruction received and intervention response; attendance; vision / hearing screening; language difference; other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Summary &amp; integration</w:t>
      </w:r>
      <w:r>
        <w:rPr>
          <w:color w:val="64748B"/>
          <w:sz w:val="15"/>
          <w:szCs w:val="15"/>
        </w:rPr>
        <w:t xml:space="preserve">   one explanation across measures; answer the referral question; eligibility stays with the team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Recommendations, progress monitoring &amp; re-evaluation trigger</w:t>
      </w:r>
      <w:r>
        <w:rPr>
          <w:color w:val="64748B"/>
          <w:sz w:val="15"/>
          <w:szCs w:val="15"/>
        </w:rPr>
        <w:t xml:space="preserve">   numbered, specific, tied to findings; the metric, review cadence, and what would prompt re-evaluation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3200"/>
        <w:gridCol w:w="3030"/>
      </w:tblGrid>
      <w:tr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 (if required):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report: </w:t>
    </w:r>
    <w:r>
      <w:rPr>
        <w:b/>
        <w:bCs/>
        <w:color w:val="000000"/>
        <w:sz w:val="16"/>
        <w:szCs w:val="16"/>
      </w:rPr>
      <w:t xml:space="preserve">bastiongpt.com/template/psychoeducational-report</w:t>
    </w:r>
    <w:r>
      <w:rPr>
        <w:color w:val="64748B"/>
        <w:sz w:val="16"/>
        <w:szCs w:val="16"/>
      </w:rPr>
      <w:t xml:space="preserve">   ·   BastionGPT drafts the report from your scores and notes.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2026-07-21T03:39:21.737Z</dcterms:created>
  <dcterms:modified xsi:type="dcterms:W3CDTF">2026-07-21T03:39:21.739Z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