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RBANS Results Section Template</w:t>
      </w:r>
    </w:p>
    <w:p>
      <w:pPr>
        <w:pBdr>
          <w:bottom w:val="single" w:color="000000" w:sz="18"/>
        </w:pBdr>
        <w:spacing w:after="9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and form (A/B/C/D, Spanish):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Platform and mode: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Norm set used:</w:t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Measures and methods statement</w:t>
      </w:r>
    </w:p>
    <w:p>
      <w:pPr>
        <w:spacing w:after="40"/>
      </w:pPr>
      <w:r>
        <w:rPr>
          <w:color w:val="64748B"/>
          <w:sz w:val="16"/>
          <w:szCs w:val="16"/>
        </w:rPr>
        <w:t xml:space="preserve">Why the RBANS fits the referral question; edition (1998 or Update 2012), form, platform, mode, and norms stated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Behavioral observations and validity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Arousal, engagement, sensory or motor barriers; how performance validity was assessed (stand-alone measure preferred in dementia)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Index-by-index results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Immediate Memory, Visuospatial/Constructional, Language, Attention, Delayed Memory (mean 100, SD 15) with percentiles; profile shape in prose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Total Scale handling</w:t>
      </w:r>
    </w:p>
    <w:p>
      <w:pPr>
        <w:spacing w:after="40"/>
      </w:pPr>
      <w:r>
        <w:rPr>
          <w:color w:val="64748B"/>
          <w:sz w:val="16"/>
          <w:szCs w:val="16"/>
        </w:rPr>
        <w:t xml:space="preserve">Reported once; index spread judged against base rates; the composite carries no diagnosis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Serial comparison (retest only)</w:t>
      </w:r>
    </w:p>
    <w:p>
      <w:pPr>
        <w:spacing w:after="40"/>
      </w:pPr>
      <w:r>
        <w:rPr>
          <w:color w:val="64748B"/>
          <w:sz w:val="16"/>
          <w:szCs w:val="16"/>
        </w:rPr>
        <w:t xml:space="preserve">Interval, alternate form, prior scores; reliable change or SRB result, not raw differences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Domains not assessed and limits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No executive, letter-fluency, or motor subtests; screen boundary and what remains open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Impression and recommendations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Profile tied to referral and collateral; each recommendation traces to a finding; referral routing stated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plan (interval, alternate form):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due: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bastiongpt.com/template/rbans-report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2026-07-22T01:25:36.266Z</dcterms:created>
  <dcterms:modified xsi:type="dcterms:W3CDTF">2026-07-22T01:25:36.268Z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