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Record Amendment &amp; Correction Response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July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Practice/program: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request received (day one of the 60-day clock):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(initials):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Decision due (60 days from receipt):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Received by: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Request and entry in dispute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Requester and authority · note, date, and author · the change requested · the client’s stated reason · attach the request itself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Accuracy review</w:t>
      </w:r>
    </w:p>
    <w:p>
      <w:pPr>
        <w:spacing w:after="40"/>
      </w:pPr>
      <w:r>
        <w:rPr>
          <w:color w:val="64748B"/>
          <w:sz w:val="16"/>
          <w:szCs w:val="16"/>
        </w:rPr>
        <w:t xml:space="preserve">Reviewed by the entry’s author · finding: inaccurate or incomplete (amend) · accurate and complete, not created here, outside the record set, or not inspectable (deny)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If accepted: append or link</w:t>
      </w:r>
    </w:p>
    <w:p>
      <w:pPr>
        <w:spacing w:after="40"/>
      </w:pPr>
      <w:r>
        <w:rPr>
          <w:color w:val="64748B"/>
          <w:sz w:val="16"/>
          <w:szCs w:val="16"/>
        </w:rPr>
        <w:t xml:space="preserve">Where the amendment lives · original preserved and marked as amended · client informed · agreement to notify others · persons and business associates notified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If denied: the four required elements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Basis · statement-of-disagreement right and how to file · request and denial may accompany future disclosures · complaint paths: the practice and HHS OCR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8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Statement of disagreement / rebuttal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Statement received and length limit · rebuttal with a copy to the client · all documents appended · statement travels with future disclosures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Outcome log</w:t>
      </w:r>
    </w:p>
    <w:p>
      <w:pPr>
        <w:spacing w:after="40"/>
      </w:pPr>
      <w:r>
        <w:rPr>
          <w:color w:val="64748B"/>
          <w:sz w:val="16"/>
          <w:szCs w:val="16"/>
        </w:rPr>
        <w:t xml:space="preserve">Decision and date · decided by · notifications completed · extension notice date if used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Compliance notice (keep with every response)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The 60 days run from receipt of the request, not from a completed form; one 30-day extension only, with written reasons sent inside the original window. Never delete the original entry: append or link, and keep the original visible. A denial letter needs all four elements: the basis, the statement-of-disagreement right, the accompany-disclosures option, and both complaint paths. Keep this documentation six years (45 CFR 164.530(j)).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3544"/>
        <w:gridCol w:w="1771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Completed by (name and role):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Signature:</w:t>
            </w:r>
          </w:p>
        </w:tc>
        <w:tc>
          <w:tcPr>
            <w:tcW w:type="dxa" w:w="177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letters, and compliance notes: </w:t>
    </w:r>
    <w:r>
      <w:rPr>
        <w:b/>
        <w:bCs/>
        <w:color w:val="000000"/>
        <w:sz w:val="16"/>
        <w:szCs w:val="16"/>
      </w:rPr>
      <w:t xml:space="preserve">bastiongpt.com/template/record-amendment</w:t>
    </w:r>
    <w:r>
      <w:rPr>
        <w:color w:val="64748B"/>
        <w:sz w:val="16"/>
        <w:szCs w:val="16"/>
      </w:rPr>
      <w:t xml:space="preserve">   ·   BastionGPT drafts complete amendment responses from your decision.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2026-07-31T06:08:14.877Z</dcterms:created>
  <dcterms:modified xsi:type="dcterms:W3CDTF">2026-07-31T06:08:14.879Z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