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Return-to-Primary-Care Summary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July 2026 · Adapt fields to your organization’s, payer’s and jurisdiction’s documentation requirements.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3543"/>
        <w:gridCol w:w="3543"/>
      </w:tblGrid>
      <w:t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From (clinician / practice):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To (PCP / GP):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3543"/>
        <w:gridCol w:w="3543"/>
      </w:tblGrid>
      <w:t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Patient (initials):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DOB: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Episode (start to end):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Referral source / date: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Original referral question: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Reason for episode and diagnoses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At referral · at handback: resolved, remission, revised, or unchanged with a reason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8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Treatment delivered and response</w:t>
      </w:r>
    </w:p>
    <w:p>
      <w:pPr>
        <w:spacing w:after="40"/>
      </w:pPr>
      <w:r>
        <w:rPr>
          <w:color w:val="64748B"/>
          <w:sz w:val="16"/>
          <w:szCs w:val="16"/>
        </w:rPr>
        <w:t xml:space="preserve">Modality and focus · sessions and date range · completed or not · response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8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Current status and measures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Scores at entry and at handback with dates (PHQ-9, GAD-7, other) · functional status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8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Medications and prescribing</w:t>
      </w:r>
    </w:p>
    <w:p>
      <w:pPr>
        <w:spacing w:after="40"/>
      </w:pPr>
      <w:r>
        <w:rPr>
          <w:color w:val="64748B"/>
          <w:sz w:val="16"/>
          <w:szCs w:val="16"/>
        </w:rPr>
        <w:t xml:space="preserve">Current list and doses · changes during the episode · who prescribes from today · bridge supply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0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Relapse prevention plan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Early warning signs in the patient’s words · what helped · first steps if signs return · patient holds a copy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0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Re-referral triggers and follow-up</w:t>
      </w:r>
    </w:p>
    <w:p>
      <w:pPr>
        <w:spacing w:after="40"/>
      </w:pPr>
      <w:r>
        <w:rPr>
          <w:color w:val="64748B"/>
          <w:sz w:val="16"/>
          <w:szCs w:val="16"/>
        </w:rPr>
        <w:t xml:space="preserve">Thresholds to return: score cutoffs, safety conditions, medication events · route back · suggested interval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0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86"/>
        <w:gridCol w:w="3544"/>
      </w:tblGrid>
      <w:tr>
        <w:tc>
          <w:tcPr>
            <w:tcW w:type="dxa" w:w="708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 signature / credentials: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signed: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letter, and compliance notes: </w:t>
    </w:r>
    <w:r>
      <w:rPr>
        <w:b/>
        <w:bCs/>
        <w:color w:val="000000"/>
        <w:sz w:val="16"/>
        <w:szCs w:val="16"/>
      </w:rPr>
      <w:t xml:space="preserve">bastiongpt.com/template/return-to-primary-care-summary</w:t>
    </w:r>
    <w:r>
      <w:rPr>
        <w:color w:val="64748B"/>
        <w:sz w:val="16"/>
        <w:szCs w:val="16"/>
      </w:rPr>
      <w:t xml:space="preserve">   ·   BastionGPT drafts handback letters from your closing note and measures.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2026-07-30T22:32:42.634Z</dcterms:created>
  <dcterms:modified xsi:type="dcterms:W3CDTF">2026-07-30T22:32:42.635Z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