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Return-to-School Letter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(name and role at the school):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School / program: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Student: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Grade / year: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(treating clinician):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Credentials / license: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contact: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Relationship to student (treating clinician / evaluator):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Basis of opinion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and type of most recent contact · what the opinion rests on (treatment contacts, discharge assessment, records, collateral)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Return date: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Attendance: ☐ full days   ☐ gradual return   ☐ reduced schedule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Attendance plan and step-up dates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Days, hours, and step-up dates the school can enter directly; how changes to the plan will be communicated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limitations relevant to school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Function, not diagnosis: concentration span, stamina across the day, testing tolerance, transitions, need for breaks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Recommended supports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Two to five, specific and actionable: who does what, where, and when (break location, staggered make-up work, deadlines, check-ins)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distress escalates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Observable signs · agreed response · who the school contacts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Duration and review (how long this applies; review date; when to reassess):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Follow-up care in place: ☐ yes   ☐ scheduled, first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Consent / authorization: ☐ documented in the clinical record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 / credentials: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bastiongpt.com/template/return-to-school-letter</w:t>
    </w:r>
    <w:r>
      <w:rPr>
        <w:color w:val="64748B"/>
        <w:sz w:val="16"/>
        <w:szCs w:val="16"/>
      </w:rPr>
      <w:t xml:space="preserve">   ·   BastionGPT drafts complete return-to-school letters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2026-08-07T15:50:08.242Z</dcterms:created>
  <dcterms:modified xsi:type="dcterms:W3CDTF">2026-08-07T15:50:08.244Z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