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SASSI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September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8"/>
        <w:gridCol w:w="4622"/>
      </w:tblGrid>
      <w:tr>
        <w:tc>
          <w:tcPr>
            <w:tcW w:type="dxa" w:w="600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Instrument + language + mode (paper / online / audio):</w:t>
            </w:r>
          </w:p>
        </w:tc>
        <w:tc>
          <w:tcPr>
            <w:tcW w:type="dxa" w:w="462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 frame for the face-valid items: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context and proctoring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Referral source and question · case number if the report is filed · told the result goes to the referring party · proctored by whom, where, on what device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Reading, comprehension, and accommodations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Reading level confirmed how · audio administration if used · questions asked and handled without rephrasing any item · interpreter, vision, or fatigue issues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Validity statement and response style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Publisher's validity check named · items complete or gaps resolved · random or inconsistent responding not flagged, or flagged · defensiveness described in words as a hypothesis · profile interpretable, with caution, or not used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Result category, in the publisher's words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High Probability or Low Probability of a substance use disorder, as reported by the key or platform · edition and date · limits in the same sentence: screen, not diagnosis; low does not rule out; high is not current use or impairment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Profile description, as hypotheses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Face-valid acknowledgment · symptom or attribute pattern · prescription drug scale flag · SASSI-A3 family, peer, or attitude risk · no scale scores, no personality or criminality labels · Spanish SASSI: classification only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Interview, collateral, and independent conclusion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DSM-5 criteria reviewed · history, arrest, driving, and treatment records · collateral informants · toxicology or breath results · AUDIT-C or DAST-10 comparison · diagnosis, or none, and its basis apart from the screen result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Recommendation, records, and release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Level of care, education, or monitoring, not resting on the classification · questionnaire, profile, and platform report kept as test data · contents of the outgoing report · release or Part 2 consent on file · repeat plan, if any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Result, rights, and test-security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SASSI (Adult SASSI-4 and Adolescent SASSI-A3) is a proprietary self-report screening inventory published by The SASSI Institute. Its result is a high or low probability of a substance use disorder produced by the publisher's decision rules; it is a screen, not a diagnosis, a low result does not rule a disorder out, and a high result does not establish current use or impairment. Diagnosis, level of care, and any fitness or custody opinion come from the interview, DSM-5 criteria, records, collateral, and toxicology, documented separately. The questionnaires, items, scales, T scores, norms, profiles, score reports, and scoring keys are copyrighted; the questions may not be reproduced, paraphrased, or translated, and the profile, platform report, and scale scores belong in the testing file as test data, not in a court report, an employer letter, or a portal. Institute training is recommended rather than legally required; users must meet the publisher's qualification rules and follow 42 CFR Part 2 and HIPAA. This template contains no test content and is not a substitute for the publisher's materials.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bastiongpt.com/template/sassi</w:t>
    </w:r>
    <w:r>
      <w:rPr>
        <w:color w:val="64748B"/>
        <w:sz w:val="16"/>
        <w:szCs w:val="16"/>
      </w:rPr>
      <w:t xml:space="preserve">   ·   BastionGPT drafts complete SASSI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2026-09-03T06:55:51.796Z</dcterms:created>
  <dcterms:modified xsi:type="dcterms:W3CDTF">2026-09-03T06:55:51.797Z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