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Self-Harm (NSSI) Assessment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40"/>
        <w:gridCol w:w="2840"/>
        <w:gridCol w:w="4950"/>
      </w:tblGrid>
      <w:tr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495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  ☐ office  ☐ telehealth  ☐ school/campus  ☐ other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Prompted by:  ☐ disclosure in session  ☐ screening result  ☐ collateral report  ☐ medical finding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Context &amp; precipitants</w:t>
      </w:r>
    </w:p>
    <w:p>
      <w:pPr>
        <w:spacing w:after="40"/>
      </w:pPr>
      <w:r>
        <w:rPr>
          <w:color w:val="64748B"/>
          <w:sz w:val="15"/>
          <w:szCs w:val="15"/>
        </w:rPr>
        <w:t xml:space="preserve">Presenting problems, current stressors, substance use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Self-injury history &amp; characterization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Onset · most recent episode · frequency band · method category · stable or changing · medical severity / care required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Suicide risk screen &amp; intent determination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Ideation, plan, intent, behavior history · screen used and result · determination with its basis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Function, antecedents &amp; triggers</w:t>
      </w:r>
    </w:p>
    <w:p>
      <w:pPr>
        <w:spacing w:after="40"/>
      </w:pPr>
      <w:r>
        <w:rPr>
          <w:color w:val="64748B"/>
          <w:sz w:val="15"/>
          <w:szCs w:val="15"/>
        </w:rPr>
        <w:t xml:space="preserve">What the behavior regulates · settings where urges rise · what has interrupted it before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Risk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Acute / chronic, incl. the behavior itself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Protective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Specific to this client, today</w:t>
            </w:r>
          </w:p>
        </w:tc>
      </w:tr>
      <w:tr>
        <w:trPr>
          <w:trHeight w:val="480" w:hRule="atLeast"/>
        </w:trPr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Risk formulation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Narrative reasoning connecting findings to the response · add the level your setting requires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Interventions &amp; response plan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Skills rehearsed · response plan completed, copy given · access-reduction steps · supports w/ consent · crisis resources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Diagnosis &amp; coding</w:t>
      </w:r>
    </w:p>
    <w:p>
      <w:pPr>
        <w:spacing w:after="40"/>
      </w:pPr>
      <w:r>
        <w:rPr>
          <w:color w:val="64748B"/>
          <w:sz w:val="15"/>
          <w:szCs w:val="15"/>
        </w:rPr>
        <w:t xml:space="preserve">Underlying diagnosis first · R45.88 as an added symptom code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Disposition, follow-up &amp; reassessment</w:t>
      </w:r>
    </w:p>
    <w:p>
      <w:pPr>
        <w:spacing w:after="40"/>
      </w:pPr>
      <w:r>
        <w:rPr>
          <w:color w:val="64748B"/>
          <w:sz w:val="15"/>
          <w:szCs w:val="15"/>
        </w:rPr>
        <w:t xml:space="preserve">Level of care · dated next contact · escalation instructions · consultation · reassessment cadence for behavior and screen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bastiongpt.com/template/self-harm-assessment</w:t>
    </w:r>
    <w:r>
      <w:rPr>
        <w:color w:val="64748B"/>
        <w:sz w:val="16"/>
        <w:szCs w:val="16"/>
      </w:rPr>
      <w:t xml:space="preserve">   ·   BastionGPT drafts risk assessments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2026-07-23T17:04:37.344Z</dcterms:created>
  <dcterms:modified xsi:type="dcterms:W3CDTF">2026-07-23T17:04:37.347Z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