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STOP-Bang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questionnaire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4464"/>
        <w:gridCol w:w="6166"/>
      </w:tblGrid>
      <w:tr>
        <w:tc>
          <w:tcPr>
            <w:tcW w:type="dxa" w:w="446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Version / build + algorithm:</w:t>
            </w:r>
          </w:p>
        </w:tc>
        <w:tc>
          <w:tcPr>
            <w:tcW w:type="dxa" w:w="616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Source of responses (patient / partner / observed / imported):</w:t>
            </w:r>
          </w:p>
        </w:tc>
      </w:tr>
    </w:tbl>
    <w:p>
      <w:pPr>
        <w:spacing w:after="20" w:before="30"/>
      </w:pPr>
      <w:r>
        <w:rPr>
          <w:b/>
          <w:bCs/>
          <w:color w:val="000000"/>
          <w:sz w:val="22"/>
          <w:szCs w:val="22"/>
        </w:rPr>
        <w:t xml:space="preserve">Score and domains</w:t>
      </w:r>
    </w:p>
    <w:p>
      <w:pPr>
        <w:spacing w:after="40"/>
      </w:pPr>
      <w:r>
        <w:rPr>
          <w:color w:val="64748B"/>
          <w:sz w:val="16"/>
          <w:szCs w:val="16"/>
        </w:rPr>
        <w:t xml:space="preserve">Total ___/8 · positive domains (S T O P B A N G) · missing or disputed responses: who reported, response used, alternate score and band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Band and override</w:t>
      </w:r>
    </w:p>
    <w:p>
      <w:pPr>
        <w:spacing w:after="40"/>
      </w:pPr>
      <w:r>
        <w:rPr>
          <w:color w:val="64748B"/>
          <w:sz w:val="16"/>
          <w:szCs w:val="16"/>
        </w:rPr>
        <w:t xml:space="preserve">Low 0-2 / intermediate 3-4 / high 5-8 · override applied? two STOP domains + BMI over 35, enlarged neck, or male sex</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Diagnostic status</w:t>
      </w:r>
    </w:p>
    <w:p>
      <w:pPr>
        <w:spacing w:after="40"/>
      </w:pPr>
      <w:r>
        <w:rPr>
          <w:color w:val="64748B"/>
          <w:sz w:val="16"/>
          <w:szCs w:val="16"/>
        </w:rPr>
        <w:t xml:space="preserve">Screen-positive, suspected OSA / confirmed OSA: prior AHI-REI, PAP prescribed, adherence · screen does not diagnose or grade severity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Context</w:t>
      </w:r>
    </w:p>
    <w:p>
      <w:pPr>
        <w:spacing w:after="40"/>
      </w:pPr>
      <w:r>
        <w:rPr>
          <w:color w:val="64748B"/>
          <w:sz w:val="16"/>
          <w:szCs w:val="16"/>
        </w:rPr>
        <w:t xml:space="preserve">Procedure, opioids and sedation, airway · hypoventilation, severe pulmonary hypertension, resting hypoxemia · sleepiness, driving, safety-critical work · sex, body habitus, population caveats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Decision and reasoning</w:t>
      </w:r>
    </w:p>
    <w:p>
      <w:pPr>
        <w:spacing w:after="40"/>
      </w:pPr>
      <w:r>
        <w:rPr>
          <w:color w:val="64748B"/>
          <w:sz w:val="16"/>
          <w:szCs w:val="16"/>
        </w:rPr>
        <w:t xml:space="preserve">Proceed with presumptive OSA precautions / delay for evaluation / refer for testing / informed decline · reasoning stated · precautions or referral details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Owner and follow-up</w:t>
      </w:r>
    </w:p>
    <w:p>
      <w:pPr>
        <w:spacing w:after="40"/>
      </w:pPr>
      <w:r>
        <w:rPr>
          <w:color w:val="64748B"/>
          <w:sz w:val="16"/>
          <w:szCs w:val="16"/>
        </w:rPr>
        <w:t xml:space="preserve">Who orders testing, communicates with anesthesia and the receiving unit, reassesses · date · handoff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Safety advice and record</w:t>
      </w:r>
    </w:p>
    <w:p>
      <w:pPr>
        <w:spacing w:after="40"/>
      </w:pPr>
      <w:r>
        <w:rPr>
          <w:color w:val="64748B"/>
          <w:sz w:val="16"/>
          <w:szCs w:val="16"/>
        </w:rPr>
        <w:t xml:space="preserve">Driving and occupational advice given · full responses and scores retained where required (Australian MBS) · licence held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Screening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STOP-Bang is a screening and risk-stratification questionnaire, not a diagnostic test: no score establishes obstructive sleep apnea, its severity, or treatment eligibility, and only polysomnography or technically adequate home testing diagnoses. Name the version or build and the algorithm, because official forms differ and the current three-band interpretation (0 to 2 low, 3 to 4 intermediate, 5 to 8 high, with a combination rule for intermediate scores) disagrees with older sources that call every 3 high risk. A high score obligates a documented clinical decision with its reasoning, not an automatic surgical cancellation, sleep-study order, or driver disqualification; no US or Canadian law names the instrument, and Australia's Medicare pathway requires it together with the Epworth score. The STOP-Bang is the property of University Health Network, Toronto, and its clinical, EHR, and web use go through UHN's licence process. This template contains no questionnaire content and is not a substitute for the licensed instrument.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bastiongpt.com/template/stop-bang</w:t>
    </w:r>
    <w:r>
      <w:rPr>
        <w:color w:val="64748B"/>
        <w:sz w:val="16"/>
        <w:szCs w:val="16"/>
      </w:rPr>
      <w:t xml:space="preserve">   ·   BastionGPT drafts complete STOP-Bang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2026-08-15T18:30:40.638Z</dcterms:created>
  <dcterms:modified xsi:type="dcterms:W3CDTF">2026-08-15T18:30:40.638Z</dcterms:modified>
</cp:coreProperties>
</file>

<file path=docProps/custom.xml><?xml version="1.0" encoding="utf-8"?>
<Properties xmlns="http://schemas.openxmlformats.org/officeDocument/2006/custom-properties" xmlns:vt="http://schemas.openxmlformats.org/officeDocument/2006/docPropsVTypes"/>
</file>