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Subpoena Response &amp; Records Affidavit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Practice/program: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served (deadlines run from service):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Compliance/return 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Objection deadline: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Instrument and case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Court and case caption · issuing attorney or agency · method of service · court order attached: yes or no · testimony also commanded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Authority screen (complete before any release)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Judge-signed order · attorney subpoena with satisfactory assurance or qualified protective order · signed client authorization · Part 2 records: order and subpoena both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Scope and privilege review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Categories and date range demanded · psychotherapy notes kept separately · privilege and confidentiality grounds · overbreadth, burden, service defects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Objection or response letter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Served by the earlier of the compliance date or the rule’s window · grounds and relief requested · authorization or protective order sought · nothing produced until resolved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Custodian affidavit (recordkeeping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Signer, role, and basis of knowledge · records identified with page count · timing, knowledge, regular course, regular practice · true copies · no-record statement if a category is empty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Production or nonproduction and close-out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Date, method, pages or media · withheld categories and basis · retained with the underlying record and any legal hold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Authority notice (keep with every packet)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Confirm authority before any release: a court order permits only what it expressly authorizes, and an attorney subpoena needs satisfactory assurance of client notice or a qualified protective order (45 CFR 164.512(e)). In federal civil cases, serve written objections by the earlier of the compliance date or 14 days after service. Part 2 records need a qualifying court order and a subpoena, both. The affidavit certifies recordkeeping, not clinical opinions. This template is general documentation guidance, not legal advice; consult your attorney.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Completed by (name and role):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packet, and compliance notes: </w:t>
    </w:r>
    <w:r>
      <w:rPr>
        <w:b/>
        <w:bCs/>
        <w:color w:val="000000"/>
        <w:sz w:val="16"/>
        <w:szCs w:val="16"/>
      </w:rPr>
      <w:t xml:space="preserve">bastiongpt.com/template/subpoena-response</w:t>
    </w:r>
    <w:r>
      <w:rPr>
        <w:color w:val="64748B"/>
        <w:sz w:val="16"/>
        <w:szCs w:val="16"/>
      </w:rPr>
      <w:t xml:space="preserve">   ·   BastionGPT drafts complete subpoena response packets for attorney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2026-08-07T21:23:05.424Z</dcterms:created>
  <dcterms:modified xsi:type="dcterms:W3CDTF">2026-08-07T21:23:05.425Z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