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Psychological Testing Scoring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Episode span (first administration to feedback):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126"/>
        <w:gridCol w:w="4252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Referring practitioner: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ICD-10: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question: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Instruments interpreted and data integrated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Every test interpreted, by exact name · collateral pulled in: interview, records, informant ratings · the list must match the administration record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 summary and validity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Exact raw and standard scores, percentiles · validity indices and response style · anomalies, corrections, and rescoring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Evaluation time log (interpreting clinician only)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Dated entries naming the activity and minutes · exclude administration and scoring time · total, units, and the base code once per episode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 and clinical decision-making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Findings integrated with history and presentation · diagnostic impression · next steps and treatment planning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Report, feedback, and date of service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Report completed and filed · feedback date · date of service reported as the episode conclusion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Billing and time rules (keep with the note)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Evaluation services (CPT 96130 to 96133) are the interpreting clinician’s own work and cannot be delegated to a technician or trainee. The base code is billable once 31 minutes are documented, is reported once per assessment episode, and multi-day time is combined and reported on the date the episode concluded, typically feedback; scoring and interpretation done on a day the patient is not present is billable. A written report is expected in the record. Preserve exact scores and test names, verify computer scoring before interpreting, and keep the record 7 to 16 years depending on jurisdiction.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Completed by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bastiongpt.com/template/testing-scoring-note</w:t>
    </w:r>
    <w:r>
      <w:rPr>
        <w:color w:val="64748B"/>
        <w:sz w:val="16"/>
        <w:szCs w:val="16"/>
      </w:rPr>
      <w:t xml:space="preserve">   ·   BastionGPT drafts complete scoring notes from your time log.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2026-07-31T07:45:01.675Z</dcterms:created>
  <dcterms:modified xsi:type="dcterms:W3CDTF">2026-07-31T07:45:01.676Z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