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T.O.V.A.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00"/>
        <w:gridCol w:w="1500"/>
        <w:gridCol w:w="3560"/>
        <w:gridCol w:w="2970"/>
      </w:tblGrid>
      <w:tr>
        <w:tc>
          <w:tcPr>
            <w:tcW w:type="dxa" w:w="26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Client (initials):</w:t>
            </w:r>
          </w:p>
        </w:tc>
        <w:tc>
          <w:tcPr>
            <w:tcW w:type="dxa" w:w="15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Age:</w:t>
            </w:r>
          </w:p>
        </w:tc>
        <w:tc>
          <w:tcPr>
            <w:tcW w:type="dxa" w:w="356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Modality (visual/auditory):</w:t>
            </w:r>
          </w:p>
        </w:tc>
        <w:tc>
          <w:tcPr>
            <w:tcW w:type="dxa" w:w="297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 + time: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530"/>
        <w:gridCol w:w="5100"/>
      </w:tblGrid>
      <w:tr>
        <w:tc>
          <w:tcPr>
            <w:tcW w:type="dxa" w:w="55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Medication (name, dose, last-dose time):</w:t>
            </w:r>
          </w:p>
        </w:tc>
        <w:tc>
          <w:tcPr>
            <w:tcW w:type="dxa" w:w="51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Conditions (sleep, caffeine, exposure):</w:t>
            </w:r>
          </w:p>
        </w:tc>
      </w:tr>
    </w:tbl>
    <w:p>
      <w:pPr>
        <w:spacing w:after="20" w:before="30"/>
      </w:pPr>
      <w:r>
        <w:rPr>
          <w:b/>
          <w:bCs/>
          <w:color w:val="000000"/>
          <w:sz w:val="22"/>
          <w:szCs w:val="22"/>
        </w:rPr>
        <w:t xml:space="preserve">Identification and purpose</w:t>
      </w:r>
    </w:p>
    <w:p>
      <w:pPr>
        <w:spacing w:after="40"/>
      </w:pPr>
      <w:r>
        <w:rPr>
          <w:color w:val="64748B"/>
          <w:sz w:val="16"/>
          <w:szCs w:val="16"/>
        </w:rPr>
        <w:t xml:space="preserve">T.O.V.A. 9 · visual or auditory · build identifier from the patient report · initial adjunctive assessment vs treatment-evaluation retest · administered by / interpreted by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Validity review</w:t>
      </w:r>
    </w:p>
    <w:p>
      <w:pPr>
        <w:spacing w:after="40"/>
      </w:pPr>
      <w:r>
        <w:rPr>
          <w:color w:val="64748B"/>
          <w:sz w:val="16"/>
          <w:szCs w:val="16"/>
        </w:rPr>
        <w:t xml:space="preserve">Anticipatory responses · usable responses · unusual-pattern / performance-validity output where applicable (visual, 17+) · interruptions · hardware · instructions followed · interpretable: yes / with caution / no</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Score pattern by quarter and half</w:t>
      </w:r>
    </w:p>
    <w:p>
      <w:pPr>
        <w:spacing w:after="40"/>
      </w:pPr>
      <w:r>
        <w:rPr>
          <w:color w:val="64748B"/>
          <w:sz w:val="16"/>
          <w:szCs w:val="16"/>
        </w:rPr>
        <w:t xml:space="preserve">Standard scores in prose: omissions · commissions · response time · RT variability · d-prime · which periods carried the findings · halves are not quarter averages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4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Attention Comparison Score (visual only)</w:t>
      </w:r>
    </w:p>
    <w:p>
      <w:pPr>
        <w:spacing w:after="40"/>
      </w:pPr>
      <w:r>
        <w:rPr>
          <w:color w:val="64748B"/>
          <w:sz w:val="16"/>
          <w:szCs w:val="16"/>
        </w:rPr>
        <w:t xml:space="preserve">Value relative to zero · similarity to the manufacturer's ADHD comparison sample · aid to assessment, not a probability, threshold, or severity · not applicable to auditory</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Integration statement</w:t>
      </w:r>
    </w:p>
    <w:p>
      <w:pPr>
        <w:spacing w:after="40"/>
      </w:pPr>
      <w:r>
        <w:rPr>
          <w:color w:val="64748B"/>
          <w:sz w:val="16"/>
          <w:szCs w:val="16"/>
        </w:rPr>
        <w:t xml:space="preserve">Convergent / discordant / noncontributory with history, ratings, observation, impairment · neither establishes nor excludes ADHD · feeds the full evaluation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Retest documentation (if applicable)</w:t>
      </w:r>
    </w:p>
    <w:p>
      <w:pPr>
        <w:spacing w:after="40"/>
      </w:pPr>
      <w:r>
        <w:rPr>
          <w:color w:val="64748B"/>
          <w:sz w:val="16"/>
          <w:szCs w:val="16"/>
        </w:rPr>
        <w:t xml:space="preserve">Interval · matched conditions (time, sleep, hardware) · prior exposure + practice effects · medication and dose-to-test timing · performance-level conclusions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Plan and next steps</w:t>
      </w:r>
    </w:p>
    <w:p>
      <w:pPr>
        <w:spacing w:after="40"/>
      </w:pPr>
      <w:r>
        <w:rPr>
          <w:color w:val="64748B"/>
          <w:sz w:val="16"/>
          <w:szCs w:val="16"/>
        </w:rPr>
        <w:t xml:space="preserve">How the finding informs the evaluation or titration · complementary measures (ratings, function, tolerability) · monitoring approach</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T.O.V.A. is FDA-cleared as an aid to the assessment of attention deficits (the visual version also to treatment evaluation); it does not diagnose or exclude ADHD, and no score, including the Attention Comparison Score, is a diagnostic threshold or probability. Name the modality and build (visual and auditory versions have separate norms, ages, and indications), chart conditions and medication timing, resolve validity before interpreting, describe the pattern by period, and integrate findings with history, ratings, and observation. T.O.V.A. is a registered trademark of The TOVA Company; stimuli, norms, thresholds, manuals, and report content may not be reproduced, and this template contains no test content.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bastiongpt.com/template/tova</w:t>
    </w:r>
    <w:r>
      <w:rPr>
        <w:color w:val="64748B"/>
        <w:sz w:val="16"/>
        <w:szCs w:val="16"/>
      </w:rPr>
      <w:t xml:space="preserve">   ·   BastionGPT drafts complete T.O.V.A.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2026-08-26T03:42:13.141Z</dcterms:created>
  <dcterms:modified xsi:type="dcterms:W3CDTF">2026-08-26T03:42:13.144Z</dcterms:modified>
</cp:coreProperties>
</file>

<file path=docProps/custom.xml><?xml version="1.0" encoding="utf-8"?>
<Properties xmlns="http://schemas.openxmlformats.org/officeDocument/2006/custom-properties" xmlns:vt="http://schemas.openxmlformats.org/officeDocument/2006/docPropsVTypes"/>
</file>