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000000"/>
          <w:sz w:val="34"/>
          <w:szCs w:val="34"/>
        </w:rPr>
        <w:t xml:space="preserve">Vineland-3 Results Section Template</w:t>
      </w:r>
    </w:p>
    <w:p>
      <w:pPr>
        <w:pBdr>
          <w:bottom w:val="single" w:color="000000" w:sz="18"/>
        </w:pBdr>
        <w:spacing w:after="110"/>
      </w:pPr>
      <w:r>
        <w:rPr>
          <w:color w:val="64748B"/>
          <w:sz w:val="16"/>
          <w:szCs w:val="16"/>
        </w:rPr>
        <w:t xml:space="preserve">Reviewed by the BastionGPT Clinical Advisory Board · July 2026 · Adapt fields to your organization’s, payer’s and jurisdiction’s documentation requirements.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44"/>
        <w:gridCol w:w="3543"/>
        <w:gridCol w:w="3543"/>
      </w:tblGrid>
      <w:tr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Client (initials):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Age / grade: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Administration date(s):</w:t>
            </w:r>
          </w:p>
        </w:tc>
      </w:tr>
    </w:tbl>
    <w:p>
      <w:pPr>
        <w:spacing w:before="50"/>
      </w:pPr>
      <w:r>
        <w:rPr>
          <w:sz w:val="8"/>
          <w:szCs w:val="8"/>
        </w:rPr>
        <w:t xml:space="preserve"/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44"/>
        <w:gridCol w:w="3543"/>
        <w:gridCol w:w="3543"/>
      </w:tblGrid>
      <w:tr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Form &amp; informant: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Norm set: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Referral question:</w:t>
            </w:r>
          </w:p>
        </w:tc>
      </w:tr>
    </w:tbl>
    <w:p>
      <w:pPr>
        <w:spacing w:after="20" w:before="80"/>
      </w:pPr>
      <w:r>
        <w:rPr>
          <w:b/>
          <w:bCs/>
          <w:color w:val="000000"/>
          <w:sz w:val="23"/>
          <w:szCs w:val="23"/>
        </w:rPr>
        <w:t xml:space="preserve">Measures, form, informant, method</w:t>
      </w:r>
    </w:p>
    <w:p>
      <w:pPr>
        <w:spacing w:after="50"/>
      </w:pPr>
      <w:r>
        <w:rPr>
          <w:color w:val="64748B"/>
          <w:sz w:val="16"/>
          <w:szCs w:val="16"/>
        </w:rPr>
        <w:t xml:space="preserve">Edition; form used; informant and relationship; date; in person or telepractice; norm set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4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80"/>
      </w:pPr>
      <w:r>
        <w:rPr>
          <w:b/>
          <w:bCs/>
          <w:color w:val="000000"/>
          <w:sz w:val="23"/>
          <w:szCs w:val="23"/>
        </w:rPr>
        <w:t xml:space="preserve">Informant context and validity</w:t>
      </w:r>
    </w:p>
    <w:p>
      <w:pPr>
        <w:spacing w:after="50"/>
      </w:pPr>
      <w:r>
        <w:rPr>
          <w:color w:val="64748B"/>
          <w:sz w:val="16"/>
          <w:szCs w:val="16"/>
        </w:rPr>
        <w:t xml:space="preserve">Opportunity to observe; settings; reliability; statement that results are valid estimates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4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80"/>
      </w:pPr>
      <w:r>
        <w:rPr>
          <w:b/>
          <w:bCs/>
          <w:color w:val="000000"/>
          <w:sz w:val="23"/>
          <w:szCs w:val="23"/>
        </w:rPr>
        <w:t xml:space="preserve">Score summary (label the two metrics)</w:t>
      </w:r>
    </w:p>
    <w:p>
      <w:pPr>
        <w:spacing w:after="50"/>
      </w:pPr>
      <w:r>
        <w:rPr>
          <w:color w:val="64748B"/>
          <w:sz w:val="16"/>
          <w:szCs w:val="16"/>
        </w:rPr>
        <w:t xml:space="preserve">Composite and domains = standard scores (100/15) with CI + percentile; subdomains = v-scale (15/3); Motor birth–9 only; Maladaptive if given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6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80"/>
      </w:pPr>
      <w:r>
        <w:rPr>
          <w:b/>
          <w:bCs/>
          <w:color w:val="000000"/>
          <w:sz w:val="23"/>
          <w:szCs w:val="23"/>
        </w:rPr>
        <w:t xml:space="preserve">Domain-by-domain results</w:t>
      </w:r>
    </w:p>
    <w:p>
      <w:pPr>
        <w:spacing w:after="50"/>
      </w:pPr>
      <w:r>
        <w:rPr>
          <w:color w:val="64748B"/>
          <w:sz w:val="16"/>
          <w:szCs w:val="16"/>
        </w:rPr>
        <w:t xml:space="preserve">Communication, Daily Living Skills, Socialization: functional meaning for everyday life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4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80"/>
      </w:pPr>
      <w:r>
        <w:rPr>
          <w:b/>
          <w:bCs/>
          <w:color w:val="000000"/>
          <w:sz w:val="23"/>
          <w:szCs w:val="23"/>
        </w:rPr>
        <w:t xml:space="preserve">Composite and interpretive summary</w:t>
      </w:r>
    </w:p>
    <w:p>
      <w:pPr>
        <w:spacing w:after="50"/>
      </w:pPr>
      <w:r>
        <w:rPr>
          <w:color w:val="64748B"/>
          <w:sz w:val="16"/>
          <w:szCs w:val="16"/>
        </w:rPr>
        <w:t xml:space="preserve">ABC in context; significance and base rates for any scatter; domain-interpretability caution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4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80"/>
      </w:pPr>
      <w:r>
        <w:rPr>
          <w:b/>
          <w:bCs/>
          <w:color w:val="000000"/>
          <w:sz w:val="23"/>
          <w:szCs w:val="23"/>
        </w:rPr>
        <w:t xml:space="preserve">Informant reconciliation and diagnostic / eligibility linkage</w:t>
      </w:r>
    </w:p>
    <w:p>
      <w:pPr>
        <w:spacing w:after="50"/>
      </w:pPr>
      <w:r>
        <w:rPr>
          <w:color w:val="64748B"/>
          <w:sz w:val="16"/>
          <w:szCs w:val="16"/>
        </w:rPr>
        <w:t xml:space="preserve">Discrepancies attributed to setting, not averaged; adaptive paired with cognitive; DSM-5-TR severity by adaptive functioning; single-measure limit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6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80"/>
      </w:pPr>
      <w:r>
        <w:rPr>
          <w:b/>
          <w:bCs/>
          <w:color w:val="000000"/>
          <w:sz w:val="23"/>
          <w:szCs w:val="23"/>
        </w:rPr>
        <w:t xml:space="preserve">Recommendations linkage</w:t>
      </w:r>
    </w:p>
    <w:p>
      <w:pPr>
        <w:spacing w:after="50"/>
      </w:pPr>
      <w:r>
        <w:rPr>
          <w:color w:val="64748B"/>
          <w:sz w:val="16"/>
          <w:szCs w:val="16"/>
        </w:rPr>
        <w:t xml:space="preserve">Each support tied to a finding; re-administration keyed to growth-scale values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2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before="70"/>
      </w:pPr>
      <w:r>
        <w:rPr>
          <w:sz w:val="8"/>
          <w:szCs w:val="8"/>
        </w:rPr>
        <w:t xml:space="preserve"/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315"/>
        <w:gridCol w:w="5315"/>
      </w:tblGrid>
      <w:tr>
        <w:tc>
          <w:tcPr>
            <w:tcW w:type="dxa" w:w="5315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Optional domains reported (Motor / Maladaptive):</w:t>
            </w:r>
          </w:p>
        </w:tc>
        <w:tc>
          <w:tcPr>
            <w:tcW w:type="dxa" w:w="5315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Re-administration due:</w:t>
            </w:r>
          </w:p>
        </w:tc>
      </w:tr>
    </w:tbl>
    <w:p>
      <w:pPr>
        <w:spacing w:before="80"/>
      </w:pPr>
      <w:r>
        <w:rPr>
          <w:sz w:val="8"/>
          <w:szCs w:val="8"/>
        </w:rPr>
        <w:t xml:space="preserve"/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86"/>
        <w:gridCol w:w="3544"/>
      </w:tblGrid>
      <w:tr>
        <w:tc>
          <w:tcPr>
            <w:tcW w:type="dxa" w:w="7086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Evaluator signature / credentials:</w:t>
            </w:r>
          </w:p>
        </w:tc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 signed:</w:t>
            </w:r>
          </w:p>
        </w:tc>
      </w:tr>
      <w:tr>
        <w:tc>
          <w:tcPr>
            <w:tcW w:type="dxa" w:w="7086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Supervisor signature, where required:</w:t>
            </w:r>
          </w:p>
        </w:tc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Date:</w:t>
            </w:r>
          </w:p>
        </w:tc>
      </w:tr>
    </w:tbl>
    <w:sectPr>
      <w:footerReference w:type="default" r:id="rId7"/>
      <w:pgSz w:w="12240" w:h="15840" w:orient="portrait"/>
      <w:pgMar w:top="720" w:right="810" w:bottom="720" w:left="81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4748B"/>
        <w:sz w:val="16"/>
        <w:szCs w:val="16"/>
      </w:rPr>
      <w:t xml:space="preserve">Full guide, sample, and compliance notes: </w:t>
    </w:r>
    <w:r>
      <w:rPr>
        <w:b/>
        <w:bCs/>
        <w:color w:val="000000"/>
        <w:sz w:val="16"/>
        <w:szCs w:val="16"/>
      </w:rPr>
      <w:t xml:space="preserve">bastiongpt.com/template/vineland-3-report</w:t>
    </w:r>
    <w:r>
      <w:rPr>
        <w:color w:val="64748B"/>
        <w:sz w:val="16"/>
        <w:szCs w:val="16"/>
      </w:rPr>
      <w:t xml:space="preserve">   ·   BastionGPT drafts evaluation reports for you. Free 7-day trial.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2026-07-20T02:51:10.248Z</dcterms:created>
  <dcterms:modified xsi:type="dcterms:W3CDTF">2026-07-20T02:51:10.248Z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