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Violence &amp; Homicide Risk Assessment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40"/>
        <w:gridCol w:w="2840"/>
        <w:gridCol w:w="4950"/>
      </w:tblGrid>
      <w:tr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495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Setting:  ☐ office  ☐ telehealth  ☐ inpatient/ED  ☐ other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Prompted by:  ☐ statement in session  ☐ ideation disclosed  ☐ collateral report  ☐ referral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Context &amp; precipitants</w:t>
      </w:r>
    </w:p>
    <w:p>
      <w:pPr>
        <w:spacing w:after="40"/>
      </w:pPr>
      <w:r>
        <w:rPr>
          <w:color w:val="64748B"/>
          <w:sz w:val="15"/>
          <w:szCs w:val="15"/>
        </w:rPr>
        <w:t xml:space="preserve">Symptom course, current stressors, substance use; instruments as inputs with dates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Threat inquiry</w:t>
      </w:r>
    </w:p>
    <w:p>
      <w:pPr>
        <w:spacing w:after="40"/>
      </w:pPr>
      <w:r>
        <w:rPr>
          <w:color w:val="64748B"/>
          <w:sz w:val="15"/>
          <w:szCs w:val="15"/>
        </w:rPr>
        <w:t xml:space="preserve">Substance of what was communicated and its context · conditional or unconditional · when, to whom · repeated or escalated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Target &amp; identifiability</w:t>
      </w:r>
    </w:p>
    <w:p>
      <w:pPr>
        <w:spacing w:after="40"/>
      </w:pPr>
      <w:r>
        <w:rPr>
          <w:color w:val="64748B"/>
          <w:sz w:val="15"/>
          <w:szCs w:val="15"/>
        </w:rPr>
        <w:t xml:space="preserve">Named or reasonably ascertainable · relationship · current proximity or contact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Intent, capability &amp; access to means</w:t>
      </w:r>
    </w:p>
    <w:p>
      <w:pPr>
        <w:spacing w:after="40"/>
      </w:pPr>
      <w:r>
        <w:rPr>
          <w:color w:val="64748B"/>
          <w:sz w:val="15"/>
          <w:szCs w:val="15"/>
        </w:rPr>
        <w:t xml:space="preserve">Stated intent as distinct from anger or ideation · asked directly · restriction steps agreed and verified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History</w:t>
      </w:r>
    </w:p>
    <w:p>
      <w:pPr>
        <w:spacing w:after="40"/>
      </w:pPr>
      <w:r>
        <w:rPr>
          <w:color w:val="64748B"/>
          <w:sz w:val="15"/>
          <w:szCs w:val="15"/>
        </w:rPr>
        <w:t xml:space="preserve">Prior violence with recency and context · legal history, protective orders · sources available and consulted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r>
              <w:rPr>
                <w:b/>
                <w:bCs/>
                <w:color w:val="000000"/>
                <w:sz w:val="23"/>
                <w:szCs w:val="23"/>
              </w:rPr>
              <w:t xml:space="preserve">Risk factors</w:t>
            </w:r>
          </w:p>
          <w:p>
            <w:r>
              <w:rPr>
                <w:color w:val="64748B"/>
                <w:sz w:val="15"/>
                <w:szCs w:val="15"/>
              </w:rPr>
              <w:t xml:space="preserve">Acute / stable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20"/>
              <w:right w:type="dxa" w:w="60"/>
            </w:tcMar>
          </w:tcPr>
          <w:p>
            <w:r>
              <w:rPr>
                <w:b/>
                <w:bCs/>
                <w:color w:val="000000"/>
                <w:sz w:val="23"/>
                <w:szCs w:val="23"/>
              </w:rPr>
              <w:t xml:space="preserve">Protective factors</w:t>
            </w:r>
          </w:p>
          <w:p>
            <w:r>
              <w:rPr>
                <w:color w:val="64748B"/>
                <w:sz w:val="15"/>
                <w:szCs w:val="15"/>
              </w:rPr>
              <w:t xml:space="preserve">Specific to this client, today</w:t>
            </w:r>
          </w:p>
        </w:tc>
      </w:tr>
      <w:tr>
        <w:trPr>
          <w:trHeight w:val="520" w:hRule="atLeast"/>
        </w:trPr>
        <w:tc>
          <w:tcPr>
            <w:tcW w:type="dxa" w:w="5315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315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Risk formulation</w:t>
      </w:r>
    </w:p>
    <w:p>
      <w:pPr>
        <w:spacing w:after="40"/>
      </w:pPr>
      <w:r>
        <w:rPr>
          <w:color w:val="64748B"/>
          <w:sz w:val="15"/>
          <w:szCs w:val="15"/>
        </w:rPr>
        <w:t xml:space="preserve">Acute and longer-term risk characterized, with the rationale connecting findings to the decisions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Duty analysis, consultation &amp; decision</w:t>
      </w:r>
    </w:p>
    <w:p>
      <w:pPr>
        <w:spacing w:after="40"/>
      </w:pPr>
      <w:r>
        <w:rPr>
          <w:color w:val="64748B"/>
          <w:sz w:val="15"/>
          <w:szCs w:val="15"/>
        </w:rPr>
        <w:t xml:space="preserve">Standard applied · threshold met or not · who was consulted, when, outcome · decision, including a reasoned decision not to disclose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3"/>
          <w:szCs w:val="23"/>
        </w:rPr>
        <w:t xml:space="preserve">Actions, disposition &amp; follow-up</w:t>
      </w:r>
    </w:p>
    <w:p>
      <w:pPr>
        <w:spacing w:after="40"/>
      </w:pPr>
      <w:r>
        <w:rPr>
          <w:color w:val="64748B"/>
          <w:sz w:val="15"/>
          <w:szCs w:val="15"/>
        </w:rPr>
        <w:t xml:space="preserve">Dated, timed actions · level of care · dated next contact · reassessment triggers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bastiongpt.com/template/violence-risk-assessment</w:t>
    </w:r>
    <w:r>
      <w:rPr>
        <w:color w:val="64748B"/>
        <w:sz w:val="16"/>
        <w:szCs w:val="16"/>
      </w:rPr>
      <w:t xml:space="preserve">   ·   BastionGPT drafts risk assessments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2026-07-23T16:17:02.541Z</dcterms:created>
  <dcterms:modified xsi:type="dcterms:W3CDTF">2026-07-23T16:17:02.542Z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