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Wong-Baker FACES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scale artwork or instructions.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832"/>
        <w:gridCol w:w="5798"/>
      </w:tblGrid>
      <w:tr>
        <w:tc>
          <w:tcPr>
            <w:tcW w:type="dxa" w:w="483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Scale used + reason chosen:</w:t>
            </w:r>
          </w:p>
        </w:tc>
        <w:tc>
          <w:tcPr>
            <w:tcW w:type="dxa" w:w="579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chose the face? (yes / no) + language:</w:t>
            </w:r>
          </w:p>
        </w:tc>
      </w:tr>
    </w:tbl>
    <w:p>
      <w:pPr>
        <w:spacing w:after="20" w:before="30"/>
      </w:pPr>
      <w:r>
        <w:rPr>
          <w:b/>
          <w:bCs/>
          <w:color w:val="000000"/>
          <w:sz w:val="22"/>
          <w:szCs w:val="22"/>
        </w:rPr>
        <w:t xml:space="preserve">Rating and self-report</w:t>
      </w:r>
    </w:p>
    <w:p>
      <w:pPr>
        <w:spacing w:after="40"/>
      </w:pPr>
      <w:r>
        <w:rPr>
          <w:color w:val="64748B"/>
          <w:sz w:val="16"/>
          <w:szCs w:val="16"/>
        </w:rPr>
        <w:t xml:space="preserve">Wong-Baker FACES value on the 0 to 10 metric · time · written as patient selected · parent or caregiver impression, if any, labeled as such</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Pain description in the patient's words</w:t>
      </w:r>
    </w:p>
    <w:p>
      <w:pPr>
        <w:spacing w:after="40"/>
      </w:pPr>
      <w:r>
        <w:rPr>
          <w:color w:val="64748B"/>
          <w:sz w:val="16"/>
          <w:szCs w:val="16"/>
        </w:rPr>
        <w:t xml:space="preserve">Location and laterality · onset and cause · character · what makes it worse or better · pattern since the last assessment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Comfort and function goal</w:t>
      </w:r>
    </w:p>
    <w:p>
      <w:pPr>
        <w:spacing w:after="40"/>
      </w:pPr>
      <w:r>
        <w:rPr>
          <w:color w:val="64748B"/>
          <w:sz w:val="16"/>
          <w:szCs w:val="16"/>
        </w:rPr>
        <w:t xml:space="preserve">What the patient needs to be able to do (breathe deeply, hold still for splinting, sleep, walk) · agreed with the patient or family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Intervention</w:t>
      </w:r>
    </w:p>
    <w:p>
      <w:pPr>
        <w:spacing w:after="40"/>
      </w:pPr>
      <w:r>
        <w:rPr>
          <w:color w:val="64748B"/>
          <w:sz w:val="16"/>
          <w:szCs w:val="16"/>
        </w:rPr>
        <w:t xml:space="preserve">Drug, dose, route, and time matching the administration record · nonpharmacologic measures (ice, immobilization, positioning, distraction) · or none, with the reason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Reassessment</w:t>
      </w:r>
    </w:p>
    <w:p>
      <w:pPr>
        <w:spacing w:after="40"/>
      </w:pPr>
      <w:r>
        <w:rPr>
          <w:color w:val="64748B"/>
          <w:sz w:val="16"/>
          <w:szCs w:val="16"/>
        </w:rPr>
        <w:t xml:space="preserve">Time chosen to the route under unit policy · same scale, patient selected again · function against the goal · side effects · sedation score if an opioid was given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Observed behavior and sleep, kept separate</w:t>
      </w:r>
    </w:p>
    <w:p>
      <w:pPr>
        <w:spacing w:after="40"/>
      </w:pPr>
      <w:r>
        <w:rPr>
          <w:color w:val="64748B"/>
          <w:sz w:val="16"/>
          <w:szCs w:val="16"/>
        </w:rPr>
        <w:t xml:space="preserve">Behavior noted beside the rating, never in place of it · sleeping patient: describe sleep and breathing, do not score · parent or caregiver observations labeled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Trend, tool changes, and communication</w:t>
      </w:r>
    </w:p>
    <w:p>
      <w:pPr>
        <w:spacing w:after="40"/>
      </w:pPr>
      <w:r>
        <w:rPr>
          <w:color w:val="64748B"/>
          <w:sz w:val="16"/>
          <w:szCs w:val="16"/>
        </w:rPr>
        <w:t xml:space="preserve">Same scale as prior entries · if the tool changed, new trend with the reason · observational tool substituted when self-report was not obtainable · provider notified, handoff, discharge plan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Self-report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Wong-Baker FACES Pain Rating Scale is a patient self-report tool for physical pain in people ages three and older: the patient chooses the face, and the clinician records the value on a 0 to 10 metric. The Foundation states that it is never to be used by a third person to rate someone else's pain and never with unresponsive patients; when self-report is not obtainable, use a validated observational tool and record why. FACES values are not interchangeable with numeric rating scale values and are never mixed with them in one trend. No regulator in the United States, Canada, or Australia requires this scale, a fixed reassessment interval, or treatment at a fixed rating; reassessment timing is unit policy drawn from drug onset. The artwork is copyrighted and Wong-Baker FACES is a registered trademark of the Wong-Baker FACES Foundation, which licenses use by category; forms, electronic builds, apps, and web pages that show the faces need the Foundation's permission. This template contains no scale artwork or instructions.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bastiongpt.com/template/wong-baker-faces</w:t>
    </w:r>
    <w:r>
      <w:rPr>
        <w:color w:val="64748B"/>
        <w:sz w:val="16"/>
        <w:szCs w:val="16"/>
      </w:rPr>
      <w:t xml:space="preserve">   ·   BastionGPT drafts complete Wong-Baker FACES Pain Rating Scale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2026-09-05T22:02:26.980Z</dcterms:created>
  <dcterms:modified xsi:type="dcterms:W3CDTF">2026-09-05T22:02:26.983Z</dcterms:modified>
</cp:coreProperties>
</file>

<file path=docProps/custom.xml><?xml version="1.0" encoding="utf-8"?>
<Properties xmlns="http://schemas.openxmlformats.org/officeDocument/2006/custom-properties" xmlns:vt="http://schemas.openxmlformats.org/officeDocument/2006/docPropsVTypes"/>
</file>