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Workers' Compensation Initial Report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Worker (initials) and claim no.:</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of injury / exposure period:</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Employer and occupation:</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Exam date(s) and report date: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5315"/>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Scheme registration / provider no.:</w:t>
            </w:r>
          </w:p>
        </w:tc>
      </w:tr>
    </w:tbl>
    <w:p>
      <w:pPr>
        <w:spacing w:after="20" w:before="30"/>
      </w:pPr>
      <w:r>
        <w:rPr>
          <w:b/>
          <w:bCs/>
          <w:color w:val="000000"/>
          <w:sz w:val="22"/>
          <w:szCs w:val="22"/>
        </w:rPr>
        <w:t xml:space="preserve">Work event or exposure</w:t>
      </w:r>
    </w:p>
    <w:p>
      <w:pPr>
        <w:spacing w:after="40"/>
      </w:pPr>
      <w:r>
        <w:rPr>
          <w:color w:val="64748B"/>
          <w:sz w:val="16"/>
          <w:szCs w:val="16"/>
        </w:rPr>
        <w:t xml:space="preserve">Worker's account, identified as such · employer's account or first report where available · dates and sequence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11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Current symptoms and findings</w:t>
      </w:r>
    </w:p>
    <w:p>
      <w:pPr>
        <w:spacing w:after="40"/>
      </w:pPr>
      <w:r>
        <w:rPr>
          <w:color w:val="64748B"/>
          <w:sz w:val="16"/>
          <w:szCs w:val="16"/>
        </w:rPr>
        <w:t xml:space="preserve">Observations · at least one dated standardized measure where your scheme expects one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10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Diagnosis, basis, and work-relatedness</w:t>
      </w:r>
    </w:p>
    <w:p>
      <w:pPr>
        <w:spacing w:after="40"/>
      </w:pPr>
      <w:r>
        <w:rPr>
          <w:color w:val="64748B"/>
          <w:sz w:val="16"/>
          <w:szCs w:val="16"/>
        </w:rPr>
        <w:t xml:space="preserve">DSM diagnosis with code where required · interview / testing / records · consistent-with language, sources, limits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10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Pre-existing and co-existing conditions</w:t>
      </w:r>
    </w:p>
    <w:p>
      <w:pPr>
        <w:spacing w:after="40"/>
      </w:pPr>
      <w:r>
        <w:rPr>
          <w:color w:val="64748B"/>
          <w:sz w:val="16"/>
          <w:szCs w:val="16"/>
        </w:rPr>
        <w:t xml:space="preserve">Prior diagnosis and treatment · comorbidities · medications · non-work contributors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9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Work status and functional restrictions</w:t>
      </w:r>
    </w:p>
    <w:p>
      <w:pPr>
        <w:spacing w:after="40"/>
      </w:pPr>
      <w:r>
        <w:rPr>
          <w:color w:val="64748B"/>
          <w:sz w:val="16"/>
          <w:szCs w:val="16"/>
        </w:rPr>
        <w:t xml:space="preserve">Full / modified / off work · functional restrictions · expected duration and review date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9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Risk and treatment plan</w:t>
      </w:r>
    </w:p>
    <w:p>
      <w:pPr>
        <w:spacing w:after="40"/>
      </w:pPr>
      <w:r>
        <w:rPr>
          <w:color w:val="64748B"/>
          <w:sz w:val="16"/>
          <w:szCs w:val="16"/>
        </w:rPr>
        <w:t xml:space="preserve">Risk status either way, action taken · interventions, frequency, sessions requested · measurable goals, barriers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125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Compliance notice (keep with the report)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This report enters both your clinical record and the payer's claim file, and the worker can obtain it from either. Send the claims-relevant subset the scheme's form requests, not the whole chart; keep psychotherapy notes separate. Label the event history as the worker's account, keep causation language within treating scope, and phrase restrictions functionally. Deadlines, forms, and authorized signers vary by state and scheme; no national format exists. Adapt to your scheme's mandated form.</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4900"/>
        <w:gridCol w:w="4030"/>
        <w:gridCol w:w="1700"/>
      </w:tblGrid>
      <w:tr>
        <w:tc>
          <w:tcPr>
            <w:tcW w:type="dxa" w:w="49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 (scheme-recognized provider):</w:t>
            </w:r>
          </w:p>
        </w:tc>
        <w:tc>
          <w:tcPr>
            <w:tcW w:type="dxa" w:w="40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Credentials / provider no.:</w:t>
            </w:r>
          </w:p>
        </w:tc>
        <w:tc>
          <w:tcPr>
            <w:tcW w:type="dxa" w:w="17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report, and compliance notes: </w:t>
    </w:r>
    <w:r>
      <w:rPr>
        <w:b/>
        <w:bCs/>
        <w:color w:val="000000"/>
        <w:sz w:val="16"/>
        <w:szCs w:val="16"/>
      </w:rPr>
      <w:t xml:space="preserve">bastiongpt.com/template/workers-comp-initial-report</w:t>
    </w:r>
    <w:r>
      <w:rPr>
        <w:color w:val="64748B"/>
        <w:sz w:val="16"/>
        <w:szCs w:val="16"/>
      </w:rPr>
      <w:t xml:space="preserve">   ·   BastionGPT drafts complete initial reports.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2026-08-07T15:22:00.793Z</dcterms:created>
  <dcterms:modified xsi:type="dcterms:W3CDTF">2026-08-07T15:22:00.797Z</dcterms:modified>
</cp:coreProperties>
</file>

<file path=docProps/custom.xml><?xml version="1.0" encoding="utf-8"?>
<Properties xmlns="http://schemas.openxmlformats.org/officeDocument/2006/custom-properties" xmlns:vt="http://schemas.openxmlformats.org/officeDocument/2006/docPropsVTypes"/>
</file>